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A569F" w14:textId="302E7A13" w:rsidR="00B93799" w:rsidRDefault="00B93799" w:rsidP="7BAEBD2E">
      <w:pPr>
        <w:rPr>
          <w:b/>
          <w:bCs/>
          <w:sz w:val="36"/>
          <w:szCs w:val="36"/>
        </w:rPr>
      </w:pPr>
    </w:p>
    <w:p w14:paraId="1549C9F6" w14:textId="77777777" w:rsidR="00B93799" w:rsidRDefault="00B93799" w:rsidP="000C6DC8">
      <w:pPr>
        <w:rPr>
          <w:b/>
          <w:sz w:val="36"/>
          <w:szCs w:val="36"/>
        </w:rPr>
      </w:pPr>
    </w:p>
    <w:p w14:paraId="4AD59EAF" w14:textId="77777777" w:rsidR="00B93799" w:rsidRDefault="00B93799" w:rsidP="000C6DC8">
      <w:pPr>
        <w:rPr>
          <w:b/>
          <w:sz w:val="36"/>
          <w:szCs w:val="36"/>
        </w:rPr>
      </w:pPr>
    </w:p>
    <w:p w14:paraId="56136247" w14:textId="77777777" w:rsidR="0047231F" w:rsidRDefault="003C7C27" w:rsidP="000C6DC8">
      <w:pPr>
        <w:rPr>
          <w:b/>
          <w:sz w:val="56"/>
          <w:szCs w:val="56"/>
        </w:rPr>
      </w:pPr>
      <w:r w:rsidRPr="0047231F">
        <w:rPr>
          <w:b/>
          <w:sz w:val="56"/>
          <w:szCs w:val="56"/>
        </w:rPr>
        <w:t>Mental Health Moratorium Working Group</w:t>
      </w:r>
      <w:r w:rsidR="009A7D96" w:rsidRPr="0047231F">
        <w:rPr>
          <w:b/>
          <w:sz w:val="56"/>
          <w:szCs w:val="56"/>
        </w:rPr>
        <w:t xml:space="preserve"> </w:t>
      </w:r>
    </w:p>
    <w:p w14:paraId="553705C2" w14:textId="7B7271E9" w:rsidR="00B93799" w:rsidRPr="0047231F" w:rsidRDefault="006E0713" w:rsidP="000C6DC8">
      <w:pPr>
        <w:rPr>
          <w:b/>
          <w:sz w:val="48"/>
          <w:szCs w:val="48"/>
        </w:rPr>
      </w:pPr>
      <w:r w:rsidRPr="0047231F">
        <w:rPr>
          <w:b/>
          <w:sz w:val="48"/>
          <w:szCs w:val="48"/>
        </w:rPr>
        <w:t>R</w:t>
      </w:r>
      <w:r w:rsidR="0047231F">
        <w:rPr>
          <w:b/>
          <w:sz w:val="48"/>
          <w:szCs w:val="48"/>
        </w:rPr>
        <w:t>eport of r</w:t>
      </w:r>
      <w:r w:rsidRPr="0047231F">
        <w:rPr>
          <w:b/>
          <w:sz w:val="48"/>
          <w:szCs w:val="48"/>
        </w:rPr>
        <w:t xml:space="preserve">ecommendations </w:t>
      </w:r>
    </w:p>
    <w:p w14:paraId="78EA3B26" w14:textId="77777777" w:rsidR="00B3151B" w:rsidRPr="00B93799" w:rsidRDefault="00B3151B" w:rsidP="000C6DC8">
      <w:pPr>
        <w:rPr>
          <w:b/>
          <w:sz w:val="36"/>
          <w:szCs w:val="36"/>
        </w:rPr>
      </w:pPr>
    </w:p>
    <w:p w14:paraId="0AA84E0B" w14:textId="77777777" w:rsidR="0047231F" w:rsidRDefault="0047231F" w:rsidP="000C6DC8">
      <w:pPr>
        <w:rPr>
          <w:b/>
          <w:sz w:val="36"/>
          <w:szCs w:val="36"/>
        </w:rPr>
      </w:pPr>
    </w:p>
    <w:p w14:paraId="4A0444AF" w14:textId="070FC65B" w:rsidR="0047231F" w:rsidRDefault="0047231F" w:rsidP="000C6DC8">
      <w:pPr>
        <w:rPr>
          <w:b/>
          <w:sz w:val="36"/>
          <w:szCs w:val="36"/>
        </w:rPr>
      </w:pPr>
    </w:p>
    <w:p w14:paraId="033932B5" w14:textId="3534AC7C" w:rsidR="0047231F" w:rsidRDefault="0047231F" w:rsidP="000C6DC8">
      <w:pPr>
        <w:rPr>
          <w:b/>
          <w:sz w:val="36"/>
          <w:szCs w:val="36"/>
        </w:rPr>
      </w:pPr>
    </w:p>
    <w:p w14:paraId="40C9DCE0" w14:textId="07603DA8" w:rsidR="0047231F" w:rsidRDefault="0047231F" w:rsidP="000C6DC8">
      <w:pPr>
        <w:rPr>
          <w:b/>
          <w:sz w:val="36"/>
          <w:szCs w:val="36"/>
        </w:rPr>
      </w:pPr>
    </w:p>
    <w:p w14:paraId="122A0B89" w14:textId="58FBA0EA" w:rsidR="0047231F" w:rsidRDefault="0047231F" w:rsidP="000C6DC8">
      <w:pPr>
        <w:rPr>
          <w:b/>
          <w:sz w:val="36"/>
          <w:szCs w:val="36"/>
        </w:rPr>
      </w:pPr>
    </w:p>
    <w:p w14:paraId="43144D6F" w14:textId="77777777" w:rsidR="00FB65C2" w:rsidRDefault="00FB65C2" w:rsidP="00544291">
      <w:pPr>
        <w:rPr>
          <w:b/>
          <w:sz w:val="36"/>
          <w:szCs w:val="36"/>
        </w:rPr>
      </w:pPr>
    </w:p>
    <w:p w14:paraId="17E52051" w14:textId="77777777" w:rsidR="00FB65C2" w:rsidRDefault="00FB65C2" w:rsidP="00544291">
      <w:pPr>
        <w:rPr>
          <w:b/>
          <w:sz w:val="36"/>
          <w:szCs w:val="36"/>
        </w:rPr>
      </w:pPr>
    </w:p>
    <w:p w14:paraId="100E0962" w14:textId="7380741B" w:rsidR="00FB65C2" w:rsidRPr="00FB65C2" w:rsidRDefault="00FB65C2" w:rsidP="00FB65C2">
      <w:pPr>
        <w:rPr>
          <w:b/>
          <w:sz w:val="36"/>
          <w:szCs w:val="36"/>
        </w:rPr>
      </w:pPr>
      <w:r>
        <w:rPr>
          <w:b/>
          <w:sz w:val="36"/>
          <w:szCs w:val="36"/>
        </w:rPr>
        <w:t>August</w:t>
      </w:r>
      <w:r w:rsidR="009A7D96">
        <w:rPr>
          <w:b/>
          <w:sz w:val="36"/>
          <w:szCs w:val="36"/>
        </w:rPr>
        <w:t xml:space="preserve"> 202</w:t>
      </w:r>
      <w:r w:rsidR="003C7C27">
        <w:rPr>
          <w:b/>
          <w:sz w:val="36"/>
          <w:szCs w:val="36"/>
        </w:rPr>
        <w:t>3</w:t>
      </w:r>
      <w:r w:rsidR="0047231F">
        <w:rPr>
          <w:b/>
          <w:sz w:val="36"/>
          <w:szCs w:val="36"/>
        </w:rPr>
        <w:t xml:space="preserve">                           </w:t>
      </w:r>
      <w:r w:rsidR="0047231F">
        <w:rPr>
          <w:noProof/>
          <w:lang w:eastAsia="en-GB"/>
        </w:rPr>
        <w:drawing>
          <wp:inline distT="0" distB="0" distL="0" distR="0" wp14:anchorId="5ABF75AC" wp14:editId="7E123134">
            <wp:extent cx="2654808" cy="502920"/>
            <wp:effectExtent l="0" t="0" r="0" b="0"/>
            <wp:docPr id="5" name="Picture 5" descr="Scottish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cottish Government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54808" cy="502920"/>
                    </a:xfrm>
                    <a:prstGeom prst="rect">
                      <a:avLst/>
                    </a:prstGeom>
                  </pic:spPr>
                </pic:pic>
              </a:graphicData>
            </a:graphic>
          </wp:inline>
        </w:drawing>
      </w:r>
      <w:bookmarkStart w:id="0" w:name="_Toc135390761"/>
      <w:bookmarkStart w:id="1" w:name="_Toc137650307"/>
      <w:bookmarkStart w:id="2" w:name="_Toc137717969"/>
      <w:bookmarkStart w:id="3" w:name="_Toc141351098"/>
    </w:p>
    <w:p w14:paraId="3E459B38" w14:textId="77777777" w:rsidR="00FB65C2" w:rsidRDefault="00544291" w:rsidP="00FB65C2">
      <w:pPr>
        <w:pStyle w:val="Heading1"/>
        <w:rPr>
          <w:noProof/>
        </w:rPr>
      </w:pPr>
      <w:bookmarkStart w:id="4" w:name="_Toc142992098"/>
      <w:r w:rsidRPr="00544291">
        <w:lastRenderedPageBreak/>
        <w:t>Contents</w:t>
      </w:r>
      <w:bookmarkEnd w:id="0"/>
      <w:bookmarkEnd w:id="1"/>
      <w:bookmarkEnd w:id="2"/>
      <w:bookmarkEnd w:id="3"/>
      <w:bookmarkEnd w:id="4"/>
      <w:r w:rsidR="00040D9C">
        <w:fldChar w:fldCharType="begin"/>
      </w:r>
      <w:r w:rsidR="00040D9C">
        <w:instrText xml:space="preserve"> TOC \o "1-2" \h \z \u </w:instrText>
      </w:r>
      <w:r w:rsidR="00040D9C">
        <w:fldChar w:fldCharType="separate"/>
      </w:r>
    </w:p>
    <w:p w14:paraId="04A531C5" w14:textId="28CACC8E" w:rsidR="00FB65C2" w:rsidRPr="00FB65C2" w:rsidRDefault="00000000">
      <w:pPr>
        <w:pStyle w:val="TOC1"/>
        <w:tabs>
          <w:tab w:val="right" w:leader="dot" w:pos="9016"/>
        </w:tabs>
        <w:rPr>
          <w:rFonts w:asciiTheme="minorHAnsi" w:eastAsiaTheme="minorEastAsia" w:hAnsiTheme="minorHAnsi" w:cstheme="minorBidi"/>
          <w:noProof/>
          <w:sz w:val="28"/>
          <w:szCs w:val="28"/>
          <w:lang w:eastAsia="en-GB"/>
        </w:rPr>
      </w:pPr>
      <w:hyperlink w:anchor="_Toc142992099" w:history="1">
        <w:r w:rsidR="00FB65C2" w:rsidRPr="00FB65C2">
          <w:rPr>
            <w:rStyle w:val="Hyperlink"/>
            <w:rFonts w:eastAsia="Arial"/>
            <w:noProof/>
            <w:sz w:val="28"/>
            <w:szCs w:val="28"/>
          </w:rPr>
          <w:t>Introduction</w:t>
        </w:r>
        <w:r w:rsidR="00FB65C2" w:rsidRPr="00FB65C2">
          <w:rPr>
            <w:noProof/>
            <w:webHidden/>
            <w:sz w:val="28"/>
            <w:szCs w:val="28"/>
          </w:rPr>
          <w:tab/>
        </w:r>
        <w:r w:rsidR="00FB65C2" w:rsidRPr="00FB65C2">
          <w:rPr>
            <w:noProof/>
            <w:webHidden/>
            <w:sz w:val="28"/>
            <w:szCs w:val="28"/>
          </w:rPr>
          <w:fldChar w:fldCharType="begin"/>
        </w:r>
        <w:r w:rsidR="00FB65C2" w:rsidRPr="00FB65C2">
          <w:rPr>
            <w:noProof/>
            <w:webHidden/>
            <w:sz w:val="28"/>
            <w:szCs w:val="28"/>
          </w:rPr>
          <w:instrText xml:space="preserve"> PAGEREF _Toc142992099 \h </w:instrText>
        </w:r>
        <w:r w:rsidR="00FB65C2" w:rsidRPr="00FB65C2">
          <w:rPr>
            <w:noProof/>
            <w:webHidden/>
            <w:sz w:val="28"/>
            <w:szCs w:val="28"/>
          </w:rPr>
        </w:r>
        <w:r w:rsidR="00FB65C2" w:rsidRPr="00FB65C2">
          <w:rPr>
            <w:noProof/>
            <w:webHidden/>
            <w:sz w:val="28"/>
            <w:szCs w:val="28"/>
          </w:rPr>
          <w:fldChar w:fldCharType="separate"/>
        </w:r>
        <w:r w:rsidR="00FB65C2" w:rsidRPr="00FB65C2">
          <w:rPr>
            <w:noProof/>
            <w:webHidden/>
            <w:sz w:val="28"/>
            <w:szCs w:val="28"/>
          </w:rPr>
          <w:t>2</w:t>
        </w:r>
        <w:r w:rsidR="00FB65C2" w:rsidRPr="00FB65C2">
          <w:rPr>
            <w:noProof/>
            <w:webHidden/>
            <w:sz w:val="28"/>
            <w:szCs w:val="28"/>
          </w:rPr>
          <w:fldChar w:fldCharType="end"/>
        </w:r>
      </w:hyperlink>
    </w:p>
    <w:p w14:paraId="5072F3FC" w14:textId="08C47E3D" w:rsidR="00FB65C2" w:rsidRPr="00FB65C2" w:rsidRDefault="00000000">
      <w:pPr>
        <w:pStyle w:val="TOC1"/>
        <w:tabs>
          <w:tab w:val="right" w:leader="dot" w:pos="9016"/>
        </w:tabs>
        <w:rPr>
          <w:rFonts w:asciiTheme="minorHAnsi" w:eastAsiaTheme="minorEastAsia" w:hAnsiTheme="minorHAnsi" w:cstheme="minorBidi"/>
          <w:noProof/>
          <w:sz w:val="28"/>
          <w:szCs w:val="28"/>
          <w:lang w:eastAsia="en-GB"/>
        </w:rPr>
      </w:pPr>
      <w:hyperlink w:anchor="_Toc142992100" w:history="1">
        <w:r w:rsidR="00FB65C2" w:rsidRPr="00FB65C2">
          <w:rPr>
            <w:rStyle w:val="Hyperlink"/>
            <w:rFonts w:eastAsia="Arial"/>
            <w:noProof/>
            <w:sz w:val="28"/>
            <w:szCs w:val="28"/>
          </w:rPr>
          <w:t>Background – a mental health moratorium</w:t>
        </w:r>
        <w:r w:rsidR="00FB65C2" w:rsidRPr="00FB65C2">
          <w:rPr>
            <w:rStyle w:val="Hyperlink"/>
            <w:rFonts w:eastAsia="Arial" w:cs="Arial"/>
            <w:bCs/>
            <w:noProof/>
            <w:sz w:val="28"/>
            <w:szCs w:val="28"/>
          </w:rPr>
          <w:t xml:space="preserve"> and mental health crisis breathing space</w:t>
        </w:r>
        <w:r w:rsidR="00FB65C2" w:rsidRPr="00FB65C2">
          <w:rPr>
            <w:noProof/>
            <w:webHidden/>
            <w:sz w:val="28"/>
            <w:szCs w:val="28"/>
          </w:rPr>
          <w:tab/>
        </w:r>
        <w:r w:rsidR="00FB65C2" w:rsidRPr="00FB65C2">
          <w:rPr>
            <w:noProof/>
            <w:webHidden/>
            <w:sz w:val="28"/>
            <w:szCs w:val="28"/>
          </w:rPr>
          <w:fldChar w:fldCharType="begin"/>
        </w:r>
        <w:r w:rsidR="00FB65C2" w:rsidRPr="00FB65C2">
          <w:rPr>
            <w:noProof/>
            <w:webHidden/>
            <w:sz w:val="28"/>
            <w:szCs w:val="28"/>
          </w:rPr>
          <w:instrText xml:space="preserve"> PAGEREF _Toc142992100 \h </w:instrText>
        </w:r>
        <w:r w:rsidR="00FB65C2" w:rsidRPr="00FB65C2">
          <w:rPr>
            <w:noProof/>
            <w:webHidden/>
            <w:sz w:val="28"/>
            <w:szCs w:val="28"/>
          </w:rPr>
        </w:r>
        <w:r w:rsidR="00FB65C2" w:rsidRPr="00FB65C2">
          <w:rPr>
            <w:noProof/>
            <w:webHidden/>
            <w:sz w:val="28"/>
            <w:szCs w:val="28"/>
          </w:rPr>
          <w:fldChar w:fldCharType="separate"/>
        </w:r>
        <w:r w:rsidR="00FB65C2" w:rsidRPr="00FB65C2">
          <w:rPr>
            <w:noProof/>
            <w:webHidden/>
            <w:sz w:val="28"/>
            <w:szCs w:val="28"/>
          </w:rPr>
          <w:t>2</w:t>
        </w:r>
        <w:r w:rsidR="00FB65C2" w:rsidRPr="00FB65C2">
          <w:rPr>
            <w:noProof/>
            <w:webHidden/>
            <w:sz w:val="28"/>
            <w:szCs w:val="28"/>
          </w:rPr>
          <w:fldChar w:fldCharType="end"/>
        </w:r>
      </w:hyperlink>
    </w:p>
    <w:p w14:paraId="6506E4D5" w14:textId="1894A8F4" w:rsidR="00FB65C2" w:rsidRPr="00FB65C2" w:rsidRDefault="00000000">
      <w:pPr>
        <w:pStyle w:val="TOC1"/>
        <w:tabs>
          <w:tab w:val="right" w:leader="dot" w:pos="9016"/>
        </w:tabs>
        <w:rPr>
          <w:rFonts w:asciiTheme="minorHAnsi" w:eastAsiaTheme="minorEastAsia" w:hAnsiTheme="minorHAnsi" w:cstheme="minorBidi"/>
          <w:noProof/>
          <w:sz w:val="28"/>
          <w:szCs w:val="28"/>
          <w:lang w:eastAsia="en-GB"/>
        </w:rPr>
      </w:pPr>
      <w:hyperlink w:anchor="_Toc142992101" w:history="1">
        <w:r w:rsidR="00FB65C2" w:rsidRPr="00FB65C2">
          <w:rPr>
            <w:rStyle w:val="Hyperlink"/>
            <w:rFonts w:eastAsia="Arial"/>
            <w:noProof/>
            <w:sz w:val="28"/>
            <w:szCs w:val="28"/>
          </w:rPr>
          <w:t>Aspects of the mental health moratorium</w:t>
        </w:r>
        <w:r w:rsidR="00FB65C2" w:rsidRPr="00FB65C2">
          <w:rPr>
            <w:noProof/>
            <w:webHidden/>
            <w:sz w:val="28"/>
            <w:szCs w:val="28"/>
          </w:rPr>
          <w:tab/>
        </w:r>
        <w:r w:rsidR="00FB65C2" w:rsidRPr="00FB65C2">
          <w:rPr>
            <w:noProof/>
            <w:webHidden/>
            <w:sz w:val="28"/>
            <w:szCs w:val="28"/>
          </w:rPr>
          <w:fldChar w:fldCharType="begin"/>
        </w:r>
        <w:r w:rsidR="00FB65C2" w:rsidRPr="00FB65C2">
          <w:rPr>
            <w:noProof/>
            <w:webHidden/>
            <w:sz w:val="28"/>
            <w:szCs w:val="28"/>
          </w:rPr>
          <w:instrText xml:space="preserve"> PAGEREF _Toc142992101 \h </w:instrText>
        </w:r>
        <w:r w:rsidR="00FB65C2" w:rsidRPr="00FB65C2">
          <w:rPr>
            <w:noProof/>
            <w:webHidden/>
            <w:sz w:val="28"/>
            <w:szCs w:val="28"/>
          </w:rPr>
        </w:r>
        <w:r w:rsidR="00FB65C2" w:rsidRPr="00FB65C2">
          <w:rPr>
            <w:noProof/>
            <w:webHidden/>
            <w:sz w:val="28"/>
            <w:szCs w:val="28"/>
          </w:rPr>
          <w:fldChar w:fldCharType="separate"/>
        </w:r>
        <w:r w:rsidR="00FB65C2" w:rsidRPr="00FB65C2">
          <w:rPr>
            <w:noProof/>
            <w:webHidden/>
            <w:sz w:val="28"/>
            <w:szCs w:val="28"/>
          </w:rPr>
          <w:t>4</w:t>
        </w:r>
        <w:r w:rsidR="00FB65C2" w:rsidRPr="00FB65C2">
          <w:rPr>
            <w:noProof/>
            <w:webHidden/>
            <w:sz w:val="28"/>
            <w:szCs w:val="28"/>
          </w:rPr>
          <w:fldChar w:fldCharType="end"/>
        </w:r>
      </w:hyperlink>
    </w:p>
    <w:p w14:paraId="5485BADC" w14:textId="24C4B8BB" w:rsidR="00FB65C2" w:rsidRPr="00FB65C2" w:rsidRDefault="00000000">
      <w:pPr>
        <w:pStyle w:val="TOC2"/>
        <w:rPr>
          <w:rFonts w:asciiTheme="minorHAnsi" w:eastAsiaTheme="minorEastAsia" w:hAnsiTheme="minorHAnsi" w:cstheme="minorBidi"/>
          <w:noProof/>
          <w:sz w:val="28"/>
          <w:szCs w:val="28"/>
          <w:lang w:eastAsia="en-GB"/>
        </w:rPr>
      </w:pPr>
      <w:hyperlink w:anchor="_Toc142992102" w:history="1">
        <w:r w:rsidR="00FB65C2" w:rsidRPr="00FB65C2">
          <w:rPr>
            <w:rStyle w:val="Hyperlink"/>
            <w:rFonts w:eastAsia="Arial"/>
            <w:noProof/>
            <w:sz w:val="28"/>
            <w:szCs w:val="28"/>
          </w:rPr>
          <w:t>Entry criteria</w:t>
        </w:r>
        <w:r w:rsidR="00FB65C2" w:rsidRPr="00FB65C2">
          <w:rPr>
            <w:noProof/>
            <w:webHidden/>
            <w:sz w:val="28"/>
            <w:szCs w:val="28"/>
          </w:rPr>
          <w:tab/>
        </w:r>
        <w:r w:rsidR="00FB65C2" w:rsidRPr="00FB65C2">
          <w:rPr>
            <w:noProof/>
            <w:webHidden/>
            <w:sz w:val="28"/>
            <w:szCs w:val="28"/>
          </w:rPr>
          <w:fldChar w:fldCharType="begin"/>
        </w:r>
        <w:r w:rsidR="00FB65C2" w:rsidRPr="00FB65C2">
          <w:rPr>
            <w:noProof/>
            <w:webHidden/>
            <w:sz w:val="28"/>
            <w:szCs w:val="28"/>
          </w:rPr>
          <w:instrText xml:space="preserve"> PAGEREF _Toc142992102 \h </w:instrText>
        </w:r>
        <w:r w:rsidR="00FB65C2" w:rsidRPr="00FB65C2">
          <w:rPr>
            <w:noProof/>
            <w:webHidden/>
            <w:sz w:val="28"/>
            <w:szCs w:val="28"/>
          </w:rPr>
        </w:r>
        <w:r w:rsidR="00FB65C2" w:rsidRPr="00FB65C2">
          <w:rPr>
            <w:noProof/>
            <w:webHidden/>
            <w:sz w:val="28"/>
            <w:szCs w:val="28"/>
          </w:rPr>
          <w:fldChar w:fldCharType="separate"/>
        </w:r>
        <w:r w:rsidR="00FB65C2" w:rsidRPr="00FB65C2">
          <w:rPr>
            <w:noProof/>
            <w:webHidden/>
            <w:sz w:val="28"/>
            <w:szCs w:val="28"/>
          </w:rPr>
          <w:t>5</w:t>
        </w:r>
        <w:r w:rsidR="00FB65C2" w:rsidRPr="00FB65C2">
          <w:rPr>
            <w:noProof/>
            <w:webHidden/>
            <w:sz w:val="28"/>
            <w:szCs w:val="28"/>
          </w:rPr>
          <w:fldChar w:fldCharType="end"/>
        </w:r>
      </w:hyperlink>
    </w:p>
    <w:p w14:paraId="295E70F3" w14:textId="5C246BC4" w:rsidR="00FB65C2" w:rsidRPr="00FB65C2" w:rsidRDefault="00000000">
      <w:pPr>
        <w:pStyle w:val="TOC2"/>
        <w:rPr>
          <w:rFonts w:asciiTheme="minorHAnsi" w:eastAsiaTheme="minorEastAsia" w:hAnsiTheme="minorHAnsi" w:cstheme="minorBidi"/>
          <w:noProof/>
          <w:sz w:val="28"/>
          <w:szCs w:val="28"/>
          <w:lang w:eastAsia="en-GB"/>
        </w:rPr>
      </w:pPr>
      <w:hyperlink w:anchor="_Toc142992103" w:history="1">
        <w:r w:rsidR="00FB65C2" w:rsidRPr="00FB65C2">
          <w:rPr>
            <w:rStyle w:val="Hyperlink"/>
            <w:rFonts w:eastAsia="Arial"/>
            <w:noProof/>
            <w:sz w:val="28"/>
            <w:szCs w:val="28"/>
          </w:rPr>
          <w:t>Period of protection</w:t>
        </w:r>
        <w:r w:rsidR="00FB65C2" w:rsidRPr="00FB65C2">
          <w:rPr>
            <w:noProof/>
            <w:webHidden/>
            <w:sz w:val="28"/>
            <w:szCs w:val="28"/>
          </w:rPr>
          <w:tab/>
        </w:r>
        <w:r w:rsidR="00FB65C2" w:rsidRPr="00FB65C2">
          <w:rPr>
            <w:noProof/>
            <w:webHidden/>
            <w:sz w:val="28"/>
            <w:szCs w:val="28"/>
          </w:rPr>
          <w:fldChar w:fldCharType="begin"/>
        </w:r>
        <w:r w:rsidR="00FB65C2" w:rsidRPr="00FB65C2">
          <w:rPr>
            <w:noProof/>
            <w:webHidden/>
            <w:sz w:val="28"/>
            <w:szCs w:val="28"/>
          </w:rPr>
          <w:instrText xml:space="preserve"> PAGEREF _Toc142992103 \h </w:instrText>
        </w:r>
        <w:r w:rsidR="00FB65C2" w:rsidRPr="00FB65C2">
          <w:rPr>
            <w:noProof/>
            <w:webHidden/>
            <w:sz w:val="28"/>
            <w:szCs w:val="28"/>
          </w:rPr>
        </w:r>
        <w:r w:rsidR="00FB65C2" w:rsidRPr="00FB65C2">
          <w:rPr>
            <w:noProof/>
            <w:webHidden/>
            <w:sz w:val="28"/>
            <w:szCs w:val="28"/>
          </w:rPr>
          <w:fldChar w:fldCharType="separate"/>
        </w:r>
        <w:r w:rsidR="00FB65C2" w:rsidRPr="00FB65C2">
          <w:rPr>
            <w:noProof/>
            <w:webHidden/>
            <w:sz w:val="28"/>
            <w:szCs w:val="28"/>
          </w:rPr>
          <w:t>10</w:t>
        </w:r>
        <w:r w:rsidR="00FB65C2" w:rsidRPr="00FB65C2">
          <w:rPr>
            <w:noProof/>
            <w:webHidden/>
            <w:sz w:val="28"/>
            <w:szCs w:val="28"/>
          </w:rPr>
          <w:fldChar w:fldCharType="end"/>
        </w:r>
      </w:hyperlink>
    </w:p>
    <w:p w14:paraId="271FEAC1" w14:textId="035E698E" w:rsidR="00FB65C2" w:rsidRPr="00FB65C2" w:rsidRDefault="00000000">
      <w:pPr>
        <w:pStyle w:val="TOC2"/>
        <w:rPr>
          <w:rFonts w:asciiTheme="minorHAnsi" w:eastAsiaTheme="minorEastAsia" w:hAnsiTheme="minorHAnsi" w:cstheme="minorBidi"/>
          <w:noProof/>
          <w:sz w:val="28"/>
          <w:szCs w:val="28"/>
          <w:lang w:eastAsia="en-GB"/>
        </w:rPr>
      </w:pPr>
      <w:hyperlink w:anchor="_Toc142992104" w:history="1">
        <w:r w:rsidR="00FB65C2" w:rsidRPr="00FB65C2">
          <w:rPr>
            <w:rStyle w:val="Hyperlink"/>
            <w:rFonts w:eastAsia="Arial"/>
            <w:noProof/>
            <w:sz w:val="28"/>
            <w:szCs w:val="28"/>
          </w:rPr>
          <w:t>Levels of protection</w:t>
        </w:r>
        <w:r w:rsidR="00FB65C2" w:rsidRPr="00FB65C2">
          <w:rPr>
            <w:noProof/>
            <w:webHidden/>
            <w:sz w:val="28"/>
            <w:szCs w:val="28"/>
          </w:rPr>
          <w:tab/>
        </w:r>
        <w:r w:rsidR="00FB65C2" w:rsidRPr="00FB65C2">
          <w:rPr>
            <w:noProof/>
            <w:webHidden/>
            <w:sz w:val="28"/>
            <w:szCs w:val="28"/>
          </w:rPr>
          <w:fldChar w:fldCharType="begin"/>
        </w:r>
        <w:r w:rsidR="00FB65C2" w:rsidRPr="00FB65C2">
          <w:rPr>
            <w:noProof/>
            <w:webHidden/>
            <w:sz w:val="28"/>
            <w:szCs w:val="28"/>
          </w:rPr>
          <w:instrText xml:space="preserve"> PAGEREF _Toc142992104 \h </w:instrText>
        </w:r>
        <w:r w:rsidR="00FB65C2" w:rsidRPr="00FB65C2">
          <w:rPr>
            <w:noProof/>
            <w:webHidden/>
            <w:sz w:val="28"/>
            <w:szCs w:val="28"/>
          </w:rPr>
        </w:r>
        <w:r w:rsidR="00FB65C2" w:rsidRPr="00FB65C2">
          <w:rPr>
            <w:noProof/>
            <w:webHidden/>
            <w:sz w:val="28"/>
            <w:szCs w:val="28"/>
          </w:rPr>
          <w:fldChar w:fldCharType="separate"/>
        </w:r>
        <w:r w:rsidR="00FB65C2" w:rsidRPr="00FB65C2">
          <w:rPr>
            <w:noProof/>
            <w:webHidden/>
            <w:sz w:val="28"/>
            <w:szCs w:val="28"/>
          </w:rPr>
          <w:t>13</w:t>
        </w:r>
        <w:r w:rsidR="00FB65C2" w:rsidRPr="00FB65C2">
          <w:rPr>
            <w:noProof/>
            <w:webHidden/>
            <w:sz w:val="28"/>
            <w:szCs w:val="28"/>
          </w:rPr>
          <w:fldChar w:fldCharType="end"/>
        </w:r>
      </w:hyperlink>
    </w:p>
    <w:p w14:paraId="0E7DA4BD" w14:textId="27322D8B" w:rsidR="00FB65C2" w:rsidRPr="00FB65C2" w:rsidRDefault="00000000">
      <w:pPr>
        <w:pStyle w:val="TOC2"/>
        <w:rPr>
          <w:rFonts w:asciiTheme="minorHAnsi" w:eastAsiaTheme="minorEastAsia" w:hAnsiTheme="minorHAnsi" w:cstheme="minorBidi"/>
          <w:noProof/>
          <w:sz w:val="28"/>
          <w:szCs w:val="28"/>
          <w:lang w:eastAsia="en-GB"/>
        </w:rPr>
      </w:pPr>
      <w:hyperlink w:anchor="_Toc142992105" w:history="1">
        <w:r w:rsidR="00FB65C2" w:rsidRPr="00FB65C2">
          <w:rPr>
            <w:rStyle w:val="Hyperlink"/>
            <w:rFonts w:eastAsia="Arial"/>
            <w:noProof/>
            <w:sz w:val="28"/>
            <w:szCs w:val="28"/>
          </w:rPr>
          <w:t>Exit process</w:t>
        </w:r>
        <w:r w:rsidR="00FB65C2" w:rsidRPr="00FB65C2">
          <w:rPr>
            <w:noProof/>
            <w:webHidden/>
            <w:sz w:val="28"/>
            <w:szCs w:val="28"/>
          </w:rPr>
          <w:tab/>
        </w:r>
        <w:r w:rsidR="00FB65C2" w:rsidRPr="00FB65C2">
          <w:rPr>
            <w:noProof/>
            <w:webHidden/>
            <w:sz w:val="28"/>
            <w:szCs w:val="28"/>
          </w:rPr>
          <w:fldChar w:fldCharType="begin"/>
        </w:r>
        <w:r w:rsidR="00FB65C2" w:rsidRPr="00FB65C2">
          <w:rPr>
            <w:noProof/>
            <w:webHidden/>
            <w:sz w:val="28"/>
            <w:szCs w:val="28"/>
          </w:rPr>
          <w:instrText xml:space="preserve"> PAGEREF _Toc142992105 \h </w:instrText>
        </w:r>
        <w:r w:rsidR="00FB65C2" w:rsidRPr="00FB65C2">
          <w:rPr>
            <w:noProof/>
            <w:webHidden/>
            <w:sz w:val="28"/>
            <w:szCs w:val="28"/>
          </w:rPr>
        </w:r>
        <w:r w:rsidR="00FB65C2" w:rsidRPr="00FB65C2">
          <w:rPr>
            <w:noProof/>
            <w:webHidden/>
            <w:sz w:val="28"/>
            <w:szCs w:val="28"/>
          </w:rPr>
          <w:fldChar w:fldCharType="separate"/>
        </w:r>
        <w:r w:rsidR="00FB65C2" w:rsidRPr="00FB65C2">
          <w:rPr>
            <w:noProof/>
            <w:webHidden/>
            <w:sz w:val="28"/>
            <w:szCs w:val="28"/>
          </w:rPr>
          <w:t>18</w:t>
        </w:r>
        <w:r w:rsidR="00FB65C2" w:rsidRPr="00FB65C2">
          <w:rPr>
            <w:noProof/>
            <w:webHidden/>
            <w:sz w:val="28"/>
            <w:szCs w:val="28"/>
          </w:rPr>
          <w:fldChar w:fldCharType="end"/>
        </w:r>
      </w:hyperlink>
    </w:p>
    <w:p w14:paraId="0525AA19" w14:textId="4011ACE3" w:rsidR="00FB65C2" w:rsidRPr="00FB65C2" w:rsidRDefault="00000000">
      <w:pPr>
        <w:pStyle w:val="TOC1"/>
        <w:tabs>
          <w:tab w:val="right" w:leader="dot" w:pos="9016"/>
        </w:tabs>
        <w:rPr>
          <w:rFonts w:asciiTheme="minorHAnsi" w:eastAsiaTheme="minorEastAsia" w:hAnsiTheme="minorHAnsi" w:cstheme="minorBidi"/>
          <w:noProof/>
          <w:sz w:val="28"/>
          <w:szCs w:val="28"/>
          <w:lang w:eastAsia="en-GB"/>
        </w:rPr>
      </w:pPr>
      <w:hyperlink w:anchor="_Toc142992106" w:history="1">
        <w:r w:rsidR="00FB65C2" w:rsidRPr="00FB65C2">
          <w:rPr>
            <w:rStyle w:val="Hyperlink"/>
            <w:rFonts w:eastAsia="Arial"/>
            <w:noProof/>
            <w:sz w:val="28"/>
            <w:szCs w:val="28"/>
          </w:rPr>
          <w:t>Group membership</w:t>
        </w:r>
        <w:r w:rsidR="00FB65C2" w:rsidRPr="00FB65C2">
          <w:rPr>
            <w:noProof/>
            <w:webHidden/>
            <w:sz w:val="28"/>
            <w:szCs w:val="28"/>
          </w:rPr>
          <w:tab/>
        </w:r>
        <w:r w:rsidR="00FB65C2" w:rsidRPr="00FB65C2">
          <w:rPr>
            <w:noProof/>
            <w:webHidden/>
            <w:sz w:val="28"/>
            <w:szCs w:val="28"/>
          </w:rPr>
          <w:fldChar w:fldCharType="begin"/>
        </w:r>
        <w:r w:rsidR="00FB65C2" w:rsidRPr="00FB65C2">
          <w:rPr>
            <w:noProof/>
            <w:webHidden/>
            <w:sz w:val="28"/>
            <w:szCs w:val="28"/>
          </w:rPr>
          <w:instrText xml:space="preserve"> PAGEREF _Toc142992106 \h </w:instrText>
        </w:r>
        <w:r w:rsidR="00FB65C2" w:rsidRPr="00FB65C2">
          <w:rPr>
            <w:noProof/>
            <w:webHidden/>
            <w:sz w:val="28"/>
            <w:szCs w:val="28"/>
          </w:rPr>
        </w:r>
        <w:r w:rsidR="00FB65C2" w:rsidRPr="00FB65C2">
          <w:rPr>
            <w:noProof/>
            <w:webHidden/>
            <w:sz w:val="28"/>
            <w:szCs w:val="28"/>
          </w:rPr>
          <w:fldChar w:fldCharType="separate"/>
        </w:r>
        <w:r w:rsidR="00FB65C2" w:rsidRPr="00FB65C2">
          <w:rPr>
            <w:noProof/>
            <w:webHidden/>
            <w:sz w:val="28"/>
            <w:szCs w:val="28"/>
          </w:rPr>
          <w:t>20</w:t>
        </w:r>
        <w:r w:rsidR="00FB65C2" w:rsidRPr="00FB65C2">
          <w:rPr>
            <w:noProof/>
            <w:webHidden/>
            <w:sz w:val="28"/>
            <w:szCs w:val="28"/>
          </w:rPr>
          <w:fldChar w:fldCharType="end"/>
        </w:r>
      </w:hyperlink>
    </w:p>
    <w:p w14:paraId="10FB46D8" w14:textId="1270A292" w:rsidR="00FB65C2" w:rsidRPr="00FB65C2" w:rsidRDefault="00000000">
      <w:pPr>
        <w:pStyle w:val="TOC1"/>
        <w:tabs>
          <w:tab w:val="right" w:leader="dot" w:pos="9016"/>
        </w:tabs>
        <w:rPr>
          <w:rFonts w:asciiTheme="minorHAnsi" w:eastAsiaTheme="minorEastAsia" w:hAnsiTheme="minorHAnsi" w:cstheme="minorBidi"/>
          <w:noProof/>
          <w:sz w:val="28"/>
          <w:szCs w:val="28"/>
          <w:lang w:eastAsia="en-GB"/>
        </w:rPr>
      </w:pPr>
      <w:hyperlink w:anchor="_Toc142992107" w:history="1">
        <w:r w:rsidR="00FB65C2" w:rsidRPr="00FB65C2">
          <w:rPr>
            <w:rStyle w:val="Hyperlink"/>
            <w:rFonts w:eastAsia="Arial"/>
            <w:noProof/>
            <w:sz w:val="28"/>
            <w:szCs w:val="28"/>
          </w:rPr>
          <w:t>Annex A - Summary of recommendations</w:t>
        </w:r>
        <w:r w:rsidR="00FB65C2" w:rsidRPr="00FB65C2">
          <w:rPr>
            <w:noProof/>
            <w:webHidden/>
            <w:sz w:val="28"/>
            <w:szCs w:val="28"/>
          </w:rPr>
          <w:tab/>
        </w:r>
        <w:r w:rsidR="00FB65C2" w:rsidRPr="00FB65C2">
          <w:rPr>
            <w:noProof/>
            <w:webHidden/>
            <w:sz w:val="28"/>
            <w:szCs w:val="28"/>
          </w:rPr>
          <w:fldChar w:fldCharType="begin"/>
        </w:r>
        <w:r w:rsidR="00FB65C2" w:rsidRPr="00FB65C2">
          <w:rPr>
            <w:noProof/>
            <w:webHidden/>
            <w:sz w:val="28"/>
            <w:szCs w:val="28"/>
          </w:rPr>
          <w:instrText xml:space="preserve"> PAGEREF _Toc142992107 \h </w:instrText>
        </w:r>
        <w:r w:rsidR="00FB65C2" w:rsidRPr="00FB65C2">
          <w:rPr>
            <w:noProof/>
            <w:webHidden/>
            <w:sz w:val="28"/>
            <w:szCs w:val="28"/>
          </w:rPr>
        </w:r>
        <w:r w:rsidR="00FB65C2" w:rsidRPr="00FB65C2">
          <w:rPr>
            <w:noProof/>
            <w:webHidden/>
            <w:sz w:val="28"/>
            <w:szCs w:val="28"/>
          </w:rPr>
          <w:fldChar w:fldCharType="separate"/>
        </w:r>
        <w:r w:rsidR="00FB65C2" w:rsidRPr="00FB65C2">
          <w:rPr>
            <w:noProof/>
            <w:webHidden/>
            <w:sz w:val="28"/>
            <w:szCs w:val="28"/>
          </w:rPr>
          <w:t>22</w:t>
        </w:r>
        <w:r w:rsidR="00FB65C2" w:rsidRPr="00FB65C2">
          <w:rPr>
            <w:noProof/>
            <w:webHidden/>
            <w:sz w:val="28"/>
            <w:szCs w:val="28"/>
          </w:rPr>
          <w:fldChar w:fldCharType="end"/>
        </w:r>
      </w:hyperlink>
    </w:p>
    <w:p w14:paraId="1F602238" w14:textId="34CDA159" w:rsidR="00040D9C" w:rsidRPr="00040D9C" w:rsidRDefault="00040D9C" w:rsidP="00040D9C">
      <w:r>
        <w:fldChar w:fldCharType="end"/>
      </w:r>
    </w:p>
    <w:p w14:paraId="31CF11E8" w14:textId="77777777" w:rsidR="00CD1076" w:rsidRDefault="00CD1076" w:rsidP="000C6DC8">
      <w:pPr>
        <w:rPr>
          <w:b/>
        </w:rPr>
      </w:pPr>
    </w:p>
    <w:p w14:paraId="6FEEC07A" w14:textId="79ADBE53" w:rsidR="00CD1076" w:rsidRDefault="00CD1076" w:rsidP="000C6DC8">
      <w:pPr>
        <w:rPr>
          <w:b/>
        </w:rPr>
      </w:pPr>
    </w:p>
    <w:p w14:paraId="2DBBEBFD" w14:textId="22188B97" w:rsidR="005F2797" w:rsidRPr="005C02F4" w:rsidRDefault="00250B39" w:rsidP="005C02F4">
      <w:pPr>
        <w:rPr>
          <w:b/>
        </w:rPr>
      </w:pPr>
      <w:r>
        <w:rPr>
          <w:b/>
        </w:rPr>
        <w:br w:type="page"/>
      </w:r>
    </w:p>
    <w:p w14:paraId="7B0AC5CC" w14:textId="3C3AA396" w:rsidR="005F2797" w:rsidRDefault="005F2797" w:rsidP="005C02F4">
      <w:pPr>
        <w:pStyle w:val="Heading1"/>
        <w:rPr>
          <w:rFonts w:eastAsia="Arial"/>
        </w:rPr>
      </w:pPr>
      <w:bookmarkStart w:id="5" w:name="_Toc100244820"/>
      <w:bookmarkStart w:id="6" w:name="_Toc135390762"/>
      <w:bookmarkStart w:id="7" w:name="_Toc137650308"/>
      <w:bookmarkStart w:id="8" w:name="_Toc142992099"/>
      <w:r w:rsidRPr="004C2962">
        <w:rPr>
          <w:rFonts w:eastAsia="Arial"/>
        </w:rPr>
        <w:lastRenderedPageBreak/>
        <w:t>I</w:t>
      </w:r>
      <w:r w:rsidR="00544291">
        <w:rPr>
          <w:rFonts w:eastAsia="Arial"/>
        </w:rPr>
        <w:t>ntroduction</w:t>
      </w:r>
      <w:bookmarkEnd w:id="5"/>
      <w:bookmarkEnd w:id="6"/>
      <w:bookmarkEnd w:id="7"/>
      <w:bookmarkEnd w:id="8"/>
    </w:p>
    <w:p w14:paraId="79298A53" w14:textId="32D718AA" w:rsidR="0047231F" w:rsidRDefault="0047231F" w:rsidP="00F63159">
      <w:pPr>
        <w:pStyle w:val="Normalnumbered"/>
      </w:pPr>
      <w:r>
        <w:t>The Bankruptcy and Diligence (Scotland) Bill was introduced in parliament on 27 April 2023 and includes an enabling power to introduce a mental health moratorium</w:t>
      </w:r>
      <w:r w:rsidR="003226A9">
        <w:t xml:space="preserve"> (MHM)</w:t>
      </w:r>
      <w:r>
        <w:t xml:space="preserve">. </w:t>
      </w:r>
    </w:p>
    <w:p w14:paraId="24C9427F" w14:textId="10B74C18" w:rsidR="006416F3" w:rsidRPr="00544291" w:rsidRDefault="005F2797" w:rsidP="00F63159">
      <w:pPr>
        <w:pStyle w:val="Normalnumbered"/>
      </w:pPr>
      <w:r w:rsidRPr="004C2962">
        <w:t xml:space="preserve">This group was set up to focus on </w:t>
      </w:r>
      <w:r w:rsidR="003C7C27">
        <w:t xml:space="preserve">the </w:t>
      </w:r>
      <w:r w:rsidR="00991CED">
        <w:t xml:space="preserve">operational practices required to </w:t>
      </w:r>
      <w:r w:rsidR="008022E5">
        <w:t>implement</w:t>
      </w:r>
      <w:r w:rsidR="00991CED">
        <w:t xml:space="preserve"> a </w:t>
      </w:r>
      <w:r w:rsidR="00DF7BC5">
        <w:t>MHM</w:t>
      </w:r>
      <w:r w:rsidR="00991CED">
        <w:t xml:space="preserve"> in Scotland.</w:t>
      </w:r>
      <w:r w:rsidRPr="004C2962">
        <w:t xml:space="preserve"> </w:t>
      </w:r>
      <w:r w:rsidR="00FB65C2">
        <w:t xml:space="preserve">A summary of the group’s recommendations made in this report can be found at </w:t>
      </w:r>
      <w:hyperlink w:anchor="_Annex_A_-" w:history="1">
        <w:r w:rsidR="00FB65C2" w:rsidRPr="00334AA7">
          <w:rPr>
            <w:rStyle w:val="Hyperlink"/>
          </w:rPr>
          <w:t>Annex A</w:t>
        </w:r>
      </w:hyperlink>
      <w:r w:rsidR="00FB65C2">
        <w:t>.</w:t>
      </w:r>
    </w:p>
    <w:p w14:paraId="00B98916" w14:textId="7B4C30EB" w:rsidR="005F2797" w:rsidRPr="00544291" w:rsidRDefault="0042299B" w:rsidP="00544291">
      <w:pPr>
        <w:pStyle w:val="Heading1"/>
      </w:pPr>
      <w:bookmarkStart w:id="9" w:name="_Toc135390763"/>
      <w:bookmarkStart w:id="10" w:name="_Toc137650309"/>
      <w:bookmarkStart w:id="11" w:name="_Toc142992100"/>
      <w:r>
        <w:rPr>
          <w:rFonts w:eastAsia="Arial"/>
        </w:rPr>
        <w:t>Background –</w:t>
      </w:r>
      <w:r w:rsidR="00452493">
        <w:rPr>
          <w:rFonts w:eastAsia="Arial"/>
        </w:rPr>
        <w:t xml:space="preserve"> </w:t>
      </w:r>
      <w:r>
        <w:rPr>
          <w:rFonts w:eastAsia="Arial"/>
        </w:rPr>
        <w:t xml:space="preserve">a </w:t>
      </w:r>
      <w:r w:rsidR="000E6201">
        <w:rPr>
          <w:rFonts w:eastAsia="Arial"/>
        </w:rPr>
        <w:t>mental health moratorium</w:t>
      </w:r>
      <w:bookmarkEnd w:id="9"/>
      <w:r w:rsidR="005F2797" w:rsidRPr="004C2962">
        <w:rPr>
          <w:rFonts w:eastAsia="Arial" w:cs="Arial"/>
          <w:bCs/>
          <w:szCs w:val="24"/>
        </w:rPr>
        <w:t xml:space="preserve"> </w:t>
      </w:r>
      <w:r w:rsidR="004207B6">
        <w:rPr>
          <w:rFonts w:eastAsia="Arial" w:cs="Arial"/>
          <w:bCs/>
          <w:szCs w:val="24"/>
        </w:rPr>
        <w:t>and</w:t>
      </w:r>
      <w:r>
        <w:rPr>
          <w:rFonts w:eastAsia="Arial" w:cs="Arial"/>
          <w:bCs/>
          <w:szCs w:val="24"/>
        </w:rPr>
        <w:t xml:space="preserve"> mental health</w:t>
      </w:r>
      <w:r w:rsidR="00DF7BC5">
        <w:rPr>
          <w:rFonts w:eastAsia="Arial" w:cs="Arial"/>
          <w:bCs/>
          <w:szCs w:val="24"/>
        </w:rPr>
        <w:t xml:space="preserve"> crisis</w:t>
      </w:r>
      <w:r>
        <w:rPr>
          <w:rFonts w:eastAsia="Arial" w:cs="Arial"/>
          <w:bCs/>
          <w:szCs w:val="24"/>
        </w:rPr>
        <w:t xml:space="preserve"> breathing space</w:t>
      </w:r>
      <w:bookmarkEnd w:id="10"/>
      <w:bookmarkEnd w:id="11"/>
    </w:p>
    <w:p w14:paraId="100D7EA1" w14:textId="6392E917" w:rsidR="005F2797" w:rsidRPr="00544291" w:rsidRDefault="005F2797" w:rsidP="00F63159">
      <w:pPr>
        <w:pStyle w:val="Normalnumbered"/>
      </w:pPr>
      <w:r w:rsidRPr="004C2962">
        <w:t>Moratorium against diligence was introduced by</w:t>
      </w:r>
      <w:r w:rsidR="00D37120">
        <w:t xml:space="preserve"> the </w:t>
      </w:r>
      <w:r w:rsidR="001B4B76">
        <w:t xml:space="preserve">Bankruptcy and Debt Advice (Scotland) </w:t>
      </w:r>
      <w:r w:rsidR="00D37120">
        <w:t>Act</w:t>
      </w:r>
      <w:r w:rsidRPr="004C2962">
        <w:t xml:space="preserve"> </w:t>
      </w:r>
      <w:r w:rsidR="001B4B76">
        <w:t xml:space="preserve">2014 </w:t>
      </w:r>
      <w:r w:rsidRPr="004C2962">
        <w:t xml:space="preserve">which amended the Bankruptcy (Scotland) Act 1985 and has since been consolidated into Part 15 of the Bankruptcy (Scotland) Act 2016. </w:t>
      </w:r>
    </w:p>
    <w:p w14:paraId="6A9EAABD" w14:textId="3595DFEA" w:rsidR="005F2797" w:rsidRPr="00FC00BB" w:rsidRDefault="00EC03A2" w:rsidP="00F63159">
      <w:pPr>
        <w:pStyle w:val="Normalnumbered"/>
        <w:rPr>
          <w:rFonts w:eastAsiaTheme="minorEastAsia"/>
        </w:rPr>
      </w:pPr>
      <w:r>
        <w:t>A</w:t>
      </w:r>
      <w:r w:rsidR="005F2797" w:rsidRPr="004C2962">
        <w:t xml:space="preserve"> statutory moratorium on diligence provide</w:t>
      </w:r>
      <w:r w:rsidR="001E0D1D">
        <w:t>s</w:t>
      </w:r>
      <w:r w:rsidR="005F2797" w:rsidRPr="004C2962">
        <w:t xml:space="preserve"> a period of protection during which creditors cannot take any formal recovery action (diligence) against a debtor for debts owed. Moratorium protection can be requested by debtors who are seeking to access an appropriate statutory debt solution but who require more time to seek advice and consider their options. </w:t>
      </w:r>
      <w:r w:rsidR="00EC436A">
        <w:tab/>
      </w:r>
      <w:r w:rsidR="005F2797" w:rsidRPr="00FC00BB">
        <w:t xml:space="preserve"> </w:t>
      </w:r>
    </w:p>
    <w:p w14:paraId="726E5F72" w14:textId="5E6F5540" w:rsidR="0047231F" w:rsidRDefault="00075BA6" w:rsidP="00F63159">
      <w:pPr>
        <w:pStyle w:val="Normalnumbered"/>
      </w:pPr>
      <w:r w:rsidRPr="00885FED">
        <w:t xml:space="preserve">In 2019, </w:t>
      </w:r>
      <w:r w:rsidR="001F5805" w:rsidRPr="00885FED">
        <w:t>Scottish Ministers committed to undertake a wide-ranging policy review of Scotland’s statutory debt solutions</w:t>
      </w:r>
      <w:r w:rsidR="00E60413" w:rsidRPr="00885FED">
        <w:t xml:space="preserve"> which included the consideration of a moratorium</w:t>
      </w:r>
      <w:r w:rsidR="007B6250">
        <w:t xml:space="preserve"> specifically for those individuals with mental health issues</w:t>
      </w:r>
      <w:r w:rsidR="001F5805" w:rsidRPr="00885FED">
        <w:t xml:space="preserve">. </w:t>
      </w:r>
      <w:r w:rsidR="007854D5" w:rsidRPr="00885FED">
        <w:t xml:space="preserve">The commencement of the policy work associated with the wider review was interrupted by the on-set of the </w:t>
      </w:r>
      <w:r w:rsidR="004207B6">
        <w:t>c</w:t>
      </w:r>
      <w:r w:rsidR="007854D5" w:rsidRPr="00885FED">
        <w:t xml:space="preserve">oronavirus pandemic. </w:t>
      </w:r>
    </w:p>
    <w:p w14:paraId="08A8A6EF" w14:textId="100BC7D7" w:rsidR="00885FED" w:rsidRDefault="00E60413" w:rsidP="00F63159">
      <w:pPr>
        <w:pStyle w:val="Normalnumbered"/>
        <w:rPr>
          <w:lang w:eastAsia="en-GB"/>
        </w:rPr>
      </w:pPr>
      <w:r w:rsidRPr="00885FED">
        <w:t>In</w:t>
      </w:r>
      <w:r w:rsidR="007854D5" w:rsidRPr="00885FED">
        <w:t xml:space="preserve"> 2020 it was agreed that the review should consist of three stages</w:t>
      </w:r>
      <w:r w:rsidR="004207B6">
        <w:t>.</w:t>
      </w:r>
      <w:r w:rsidR="007854D5" w:rsidRPr="00885FED">
        <w:t xml:space="preserve"> </w:t>
      </w:r>
      <w:r w:rsidR="00A772E6" w:rsidRPr="00885FED">
        <w:t xml:space="preserve">The first stage was for immediate changes which could be made and they were introduced through the </w:t>
      </w:r>
      <w:hyperlink r:id="rId13" w:history="1">
        <w:r w:rsidR="00A772E6" w:rsidRPr="0047231F">
          <w:rPr>
            <w:rStyle w:val="Hyperlink"/>
          </w:rPr>
          <w:t>Bankruptcy (Miscellaneous Amendments) (Scotland) Regulations 2021</w:t>
        </w:r>
      </w:hyperlink>
      <w:r w:rsidR="00A772E6" w:rsidRPr="00885FED">
        <w:t xml:space="preserve">. </w:t>
      </w:r>
    </w:p>
    <w:p w14:paraId="39DC731A" w14:textId="30721705" w:rsidR="00CF2679" w:rsidRPr="00CF2679" w:rsidRDefault="00A772E6" w:rsidP="00F63159">
      <w:pPr>
        <w:pStyle w:val="Normalnumbered"/>
      </w:pPr>
      <w:r w:rsidRPr="385D1C71">
        <w:lastRenderedPageBreak/>
        <w:t xml:space="preserve">The second stage </w:t>
      </w:r>
      <w:r w:rsidR="0014423D">
        <w:t xml:space="preserve">of the review </w:t>
      </w:r>
      <w:r w:rsidRPr="385D1C71">
        <w:t>was undertaken by stakeholder</w:t>
      </w:r>
      <w:r>
        <w:t>-</w:t>
      </w:r>
      <w:r w:rsidRPr="385D1C71">
        <w:t>led working groups</w:t>
      </w:r>
      <w:r>
        <w:t xml:space="preserve"> who </w:t>
      </w:r>
      <w:r w:rsidR="00947951">
        <w:t>considered</w:t>
      </w:r>
      <w:r>
        <w:t xml:space="preserve"> ways of </w:t>
      </w:r>
      <w:r w:rsidRPr="385D1C71">
        <w:t>improv</w:t>
      </w:r>
      <w:r>
        <w:t>ing</w:t>
      </w:r>
      <w:r w:rsidRPr="385D1C71">
        <w:t xml:space="preserve"> the existing statutory debt solutions</w:t>
      </w:r>
      <w:r>
        <w:t xml:space="preserve">. </w:t>
      </w:r>
      <w:r w:rsidR="00885FED">
        <w:t xml:space="preserve">The working groups drew on a wide range of expertise and knowledge from representatives of all sectors involved in the debt landscape. </w:t>
      </w:r>
      <w:r w:rsidR="00363C3C" w:rsidRPr="00CF2679">
        <w:rPr>
          <w:rFonts w:eastAsia="Times New Roman"/>
          <w:color w:val="000000"/>
          <w:lang w:eastAsia="en-GB"/>
        </w:rPr>
        <w:t>The introduction of</w:t>
      </w:r>
      <w:r w:rsidR="00706795" w:rsidRPr="00CF2679">
        <w:rPr>
          <w:rFonts w:eastAsia="Times New Roman"/>
          <w:color w:val="000000"/>
          <w:lang w:eastAsia="en-GB"/>
        </w:rPr>
        <w:t xml:space="preserve"> a </w:t>
      </w:r>
      <w:r w:rsidR="00DF7BC5">
        <w:rPr>
          <w:rFonts w:eastAsia="Times New Roman"/>
          <w:color w:val="000000"/>
          <w:lang w:eastAsia="en-GB"/>
        </w:rPr>
        <w:t>MHM</w:t>
      </w:r>
      <w:r w:rsidR="00706795" w:rsidRPr="00CF2679">
        <w:rPr>
          <w:rFonts w:eastAsia="Times New Roman"/>
          <w:color w:val="000000"/>
          <w:lang w:eastAsia="en-GB"/>
        </w:rPr>
        <w:t xml:space="preserve"> in Scotland </w:t>
      </w:r>
      <w:r w:rsidRPr="00CF2679">
        <w:rPr>
          <w:color w:val="000000"/>
          <w:lang w:eastAsia="en-GB"/>
        </w:rPr>
        <w:t xml:space="preserve">was </w:t>
      </w:r>
      <w:r w:rsidR="00706795" w:rsidRPr="00CF2679">
        <w:rPr>
          <w:rFonts w:eastAsia="Times New Roman"/>
          <w:color w:val="000000"/>
          <w:lang w:eastAsia="en-GB"/>
        </w:rPr>
        <w:t>recommended by the stage 2 working group</w:t>
      </w:r>
      <w:r w:rsidR="0014423D" w:rsidRPr="00CF2679">
        <w:rPr>
          <w:rFonts w:eastAsia="Times New Roman"/>
          <w:color w:val="000000"/>
          <w:lang w:eastAsia="en-GB"/>
        </w:rPr>
        <w:t xml:space="preserve">. </w:t>
      </w:r>
    </w:p>
    <w:p w14:paraId="00C801AF" w14:textId="251F390D" w:rsidR="00706795" w:rsidRDefault="00F300AC" w:rsidP="00F63159">
      <w:pPr>
        <w:pStyle w:val="Normalnumbered"/>
        <w:rPr>
          <w:rFonts w:eastAsia="Times New Roman"/>
          <w:color w:val="000000"/>
          <w:lang w:eastAsia="en-GB"/>
        </w:rPr>
      </w:pPr>
      <w:r>
        <w:rPr>
          <w:rFonts w:eastAsia="Times New Roman"/>
          <w:color w:val="000000"/>
          <w:lang w:eastAsia="en-GB"/>
        </w:rPr>
        <w:t>In their report</w:t>
      </w:r>
      <w:r w:rsidR="00FD78AF">
        <w:rPr>
          <w:rFonts w:eastAsia="Times New Roman"/>
          <w:color w:val="000000"/>
          <w:lang w:eastAsia="en-GB"/>
        </w:rPr>
        <w:t xml:space="preserve"> ‘</w:t>
      </w:r>
      <w:hyperlink r:id="rId14" w:anchor="a28aed54-ac8d-4545-acd3-03b46e43dc3b.dita" w:history="1">
        <w:r w:rsidR="00FD78AF" w:rsidRPr="000D46FF">
          <w:rPr>
            <w:rStyle w:val="Hyperlink"/>
            <w:rFonts w:eastAsia="Arial"/>
          </w:rPr>
          <w:t>Robbing Peter to pay Paul: Low income and the debt trap</w:t>
        </w:r>
      </w:hyperlink>
      <w:r w:rsidR="00FD78AF">
        <w:rPr>
          <w:rStyle w:val="Hyperlink"/>
          <w:rFonts w:eastAsia="Arial"/>
        </w:rPr>
        <w:t>’</w:t>
      </w:r>
      <w:r>
        <w:rPr>
          <w:rFonts w:eastAsia="Times New Roman"/>
          <w:color w:val="000000"/>
          <w:lang w:eastAsia="en-GB"/>
        </w:rPr>
        <w:t>, t</w:t>
      </w:r>
      <w:r w:rsidR="00706795">
        <w:rPr>
          <w:rFonts w:eastAsia="Times New Roman"/>
          <w:color w:val="000000"/>
          <w:lang w:eastAsia="en-GB"/>
        </w:rPr>
        <w:t xml:space="preserve">he </w:t>
      </w:r>
      <w:r w:rsidR="00A772E6">
        <w:rPr>
          <w:rFonts w:eastAsia="Times New Roman"/>
          <w:color w:val="000000"/>
          <w:lang w:eastAsia="en-GB"/>
        </w:rPr>
        <w:t>S</w:t>
      </w:r>
      <w:r w:rsidR="00706795">
        <w:rPr>
          <w:rFonts w:eastAsia="Times New Roman"/>
          <w:color w:val="000000"/>
          <w:lang w:eastAsia="en-GB"/>
        </w:rPr>
        <w:t xml:space="preserve">ocial </w:t>
      </w:r>
      <w:r w:rsidR="00A772E6">
        <w:rPr>
          <w:rFonts w:eastAsia="Times New Roman"/>
          <w:color w:val="000000"/>
          <w:lang w:eastAsia="en-GB"/>
        </w:rPr>
        <w:t>J</w:t>
      </w:r>
      <w:r w:rsidR="00706795">
        <w:rPr>
          <w:rFonts w:eastAsia="Times New Roman"/>
          <w:color w:val="000000"/>
          <w:lang w:eastAsia="en-GB"/>
        </w:rPr>
        <w:t xml:space="preserve">ustice and </w:t>
      </w:r>
      <w:r w:rsidR="00A772E6">
        <w:rPr>
          <w:rFonts w:eastAsia="Times New Roman"/>
          <w:color w:val="000000"/>
          <w:lang w:eastAsia="en-GB"/>
        </w:rPr>
        <w:t>S</w:t>
      </w:r>
      <w:r w:rsidR="00706795">
        <w:rPr>
          <w:rFonts w:eastAsia="Times New Roman"/>
          <w:color w:val="000000"/>
          <w:lang w:eastAsia="en-GB"/>
        </w:rPr>
        <w:t xml:space="preserve">ocial </w:t>
      </w:r>
      <w:r w:rsidR="00A772E6">
        <w:rPr>
          <w:rFonts w:eastAsia="Times New Roman"/>
          <w:color w:val="000000"/>
          <w:lang w:eastAsia="en-GB"/>
        </w:rPr>
        <w:t>S</w:t>
      </w:r>
      <w:r w:rsidR="00706795">
        <w:rPr>
          <w:rFonts w:eastAsia="Times New Roman"/>
          <w:color w:val="000000"/>
          <w:lang w:eastAsia="en-GB"/>
        </w:rPr>
        <w:t xml:space="preserve">ecurity </w:t>
      </w:r>
      <w:r w:rsidR="00A772E6">
        <w:rPr>
          <w:rFonts w:eastAsia="Times New Roman"/>
          <w:color w:val="000000"/>
          <w:lang w:eastAsia="en-GB"/>
        </w:rPr>
        <w:t>C</w:t>
      </w:r>
      <w:r w:rsidR="00706795">
        <w:rPr>
          <w:rFonts w:eastAsia="Times New Roman"/>
          <w:color w:val="000000"/>
          <w:lang w:eastAsia="en-GB"/>
        </w:rPr>
        <w:t>ommittee</w:t>
      </w:r>
      <w:r w:rsidR="0014423D">
        <w:rPr>
          <w:rFonts w:eastAsia="Times New Roman"/>
          <w:color w:val="000000"/>
          <w:lang w:eastAsia="en-GB"/>
        </w:rPr>
        <w:t xml:space="preserve"> </w:t>
      </w:r>
      <w:r w:rsidR="00330CB1">
        <w:rPr>
          <w:rFonts w:eastAsia="Times New Roman"/>
          <w:color w:val="000000"/>
          <w:lang w:eastAsia="en-GB"/>
        </w:rPr>
        <w:t xml:space="preserve">also </w:t>
      </w:r>
      <w:r w:rsidR="0014423D">
        <w:rPr>
          <w:rFonts w:eastAsia="Times New Roman"/>
          <w:color w:val="000000"/>
          <w:lang w:eastAsia="en-GB"/>
        </w:rPr>
        <w:t xml:space="preserve">recommended </w:t>
      </w:r>
      <w:r w:rsidR="00B866F1">
        <w:rPr>
          <w:rFonts w:eastAsia="Times New Roman"/>
          <w:color w:val="000000"/>
          <w:lang w:eastAsia="en-GB"/>
        </w:rPr>
        <w:t>introducing such a moratorium which has</w:t>
      </w:r>
      <w:r w:rsidR="00A772E6">
        <w:rPr>
          <w:rFonts w:eastAsia="Times New Roman"/>
          <w:color w:val="000000"/>
          <w:lang w:eastAsia="en-GB"/>
        </w:rPr>
        <w:t xml:space="preserve"> </w:t>
      </w:r>
      <w:r w:rsidR="00706795" w:rsidRPr="0043486B">
        <w:rPr>
          <w:rFonts w:eastAsia="Times New Roman"/>
          <w:color w:val="000000"/>
          <w:lang w:eastAsia="en-GB"/>
        </w:rPr>
        <w:t xml:space="preserve">received overwhelming support in </w:t>
      </w:r>
      <w:r w:rsidR="00706795">
        <w:rPr>
          <w:rFonts w:eastAsia="Times New Roman"/>
          <w:color w:val="000000"/>
          <w:lang w:eastAsia="en-GB"/>
        </w:rPr>
        <w:t xml:space="preserve">public </w:t>
      </w:r>
      <w:r w:rsidR="00706795" w:rsidRPr="0043486B">
        <w:rPr>
          <w:rFonts w:eastAsia="Times New Roman"/>
          <w:color w:val="000000"/>
          <w:lang w:eastAsia="en-GB"/>
        </w:rPr>
        <w:t>consultation</w:t>
      </w:r>
      <w:r w:rsidR="00706795">
        <w:rPr>
          <w:rFonts w:eastAsia="Times New Roman"/>
          <w:color w:val="000000"/>
          <w:lang w:eastAsia="en-GB"/>
        </w:rPr>
        <w:t>s</w:t>
      </w:r>
      <w:r w:rsidR="00706795" w:rsidRPr="0043486B">
        <w:rPr>
          <w:rFonts w:eastAsia="Times New Roman"/>
          <w:color w:val="000000"/>
          <w:lang w:eastAsia="en-GB"/>
        </w:rPr>
        <w:t>.</w:t>
      </w:r>
    </w:p>
    <w:p w14:paraId="7D6244EA" w14:textId="0E2FAB06" w:rsidR="00271F99" w:rsidRPr="004C2962" w:rsidRDefault="00271F99" w:rsidP="00F63159">
      <w:pPr>
        <w:pStyle w:val="Normalnumbered"/>
      </w:pPr>
      <w:r w:rsidRPr="004C2962">
        <w:t>In May 2021, the UK Government introduced the Debt Respite Scheme in England and Wales – aimed at providing breathing space for those seeking debt resolution. Two types of breathing space were introduced – a standard breathing space and a mental health crisis breathing space</w:t>
      </w:r>
      <w:r>
        <w:t xml:space="preserve"> (MH</w:t>
      </w:r>
      <w:r w:rsidR="0047231F">
        <w:t>C</w:t>
      </w:r>
      <w:r>
        <w:t>BS)</w:t>
      </w:r>
      <w:r w:rsidRPr="004C2962">
        <w:t xml:space="preserve">. </w:t>
      </w:r>
      <w:r>
        <w:t>A MH</w:t>
      </w:r>
      <w:r w:rsidR="0047231F">
        <w:t>C</w:t>
      </w:r>
      <w:r>
        <w:t>BS</w:t>
      </w:r>
      <w:r w:rsidRPr="004C2962">
        <w:t xml:space="preserve"> include</w:t>
      </w:r>
      <w:r>
        <w:t>s the following</w:t>
      </w:r>
      <w:r w:rsidRPr="004C2962">
        <w:t>:</w:t>
      </w:r>
    </w:p>
    <w:p w14:paraId="3DFAB061" w14:textId="1FB587F1" w:rsidR="00271F99" w:rsidRPr="009147DB" w:rsidRDefault="00271F99" w:rsidP="00D70313">
      <w:pPr>
        <w:pStyle w:val="Bulletpoints"/>
        <w:rPr>
          <w:rFonts w:eastAsiaTheme="minorEastAsia" w:cs="Arial"/>
          <w:szCs w:val="24"/>
        </w:rPr>
      </w:pPr>
      <w:r w:rsidRPr="009147DB">
        <w:rPr>
          <w:rFonts w:eastAsia="Arial" w:cs="Arial"/>
          <w:szCs w:val="24"/>
        </w:rPr>
        <w:t>to be eligible the applicant must be receiving mental health crisis treatment as defined by reg</w:t>
      </w:r>
      <w:r w:rsidR="004207B6">
        <w:rPr>
          <w:rFonts w:eastAsia="Arial" w:cs="Arial"/>
          <w:szCs w:val="24"/>
        </w:rPr>
        <w:t>ulation</w:t>
      </w:r>
      <w:r w:rsidRPr="009147DB">
        <w:rPr>
          <w:rFonts w:eastAsia="Arial" w:cs="Arial"/>
          <w:szCs w:val="24"/>
        </w:rPr>
        <w:t xml:space="preserve"> 28 of </w:t>
      </w:r>
      <w:hyperlink r:id="rId15" w:history="1">
        <w:r w:rsidRPr="00AD24E4">
          <w:rPr>
            <w:rStyle w:val="Hyperlink"/>
          </w:rPr>
          <w:t>The Debt Respite Scheme (Breathing Space Moratorium and Mental Health Crisis Moratorium)(England and Wales) Regulations 2020</w:t>
        </w:r>
      </w:hyperlink>
    </w:p>
    <w:p w14:paraId="554D5E51" w14:textId="2FA8F946" w:rsidR="00271F99" w:rsidRPr="005377F9" w:rsidRDefault="00271F99" w:rsidP="00D70313">
      <w:pPr>
        <w:pStyle w:val="Bulletpoints"/>
      </w:pPr>
      <w:r>
        <w:t>evidence of the treatment must be provided by an approved mental health professional</w:t>
      </w:r>
      <w:r w:rsidR="00EA5714">
        <w:t xml:space="preserve"> (A</w:t>
      </w:r>
      <w:r w:rsidR="00011A63">
        <w:t>MHP)</w:t>
      </w:r>
    </w:p>
    <w:p w14:paraId="1428248B" w14:textId="77777777" w:rsidR="00271F99" w:rsidRPr="00D31C87" w:rsidRDefault="00271F99" w:rsidP="00D70313">
      <w:pPr>
        <w:pStyle w:val="Bulletpoints"/>
        <w:rPr>
          <w:rFonts w:eastAsiaTheme="minorEastAsia"/>
        </w:rPr>
      </w:pPr>
      <w:r>
        <w:t xml:space="preserve">moratorium </w:t>
      </w:r>
      <w:r w:rsidRPr="004C2962">
        <w:t>lasts for the length of the mental health crisis treatment plus a further 30 days</w:t>
      </w:r>
    </w:p>
    <w:p w14:paraId="630E972D" w14:textId="24F08FB7" w:rsidR="00271F99" w:rsidRPr="008C43DE" w:rsidRDefault="00271F99" w:rsidP="00D70313">
      <w:pPr>
        <w:pStyle w:val="Bulletpoints"/>
        <w:rPr>
          <w:rFonts w:eastAsiaTheme="minorEastAsia"/>
        </w:rPr>
      </w:pPr>
      <w:r w:rsidRPr="004C2962">
        <w:t xml:space="preserve">interest and charges accrued </w:t>
      </w:r>
      <w:r w:rsidR="00375F90" w:rsidRPr="008C43DE">
        <w:t xml:space="preserve">on </w:t>
      </w:r>
      <w:r w:rsidR="00193272" w:rsidRPr="008C43DE">
        <w:t xml:space="preserve">qualifying debts (e.g </w:t>
      </w:r>
      <w:r w:rsidR="00745DBB" w:rsidRPr="008C43DE">
        <w:t xml:space="preserve">unsecured debts and arrears on </w:t>
      </w:r>
      <w:r w:rsidR="00375F90" w:rsidRPr="008C43DE">
        <w:t xml:space="preserve">secured debt due at the date of entering the MHCBS) </w:t>
      </w:r>
      <w:r w:rsidRPr="008C43DE">
        <w:t>during the moratorium period are not required to be paid - i.e. frozen</w:t>
      </w:r>
    </w:p>
    <w:p w14:paraId="3B13B061" w14:textId="13453D27" w:rsidR="00271F99" w:rsidRPr="008C43DE" w:rsidRDefault="000A1342" w:rsidP="00D70313">
      <w:pPr>
        <w:pStyle w:val="bulletsafter18"/>
        <w:rPr>
          <w:rFonts w:eastAsiaTheme="minorEastAsia"/>
        </w:rPr>
      </w:pPr>
      <w:r w:rsidRPr="008C43DE">
        <w:rPr>
          <w:rStyle w:val="cf01"/>
          <w:rFonts w:ascii="Arial" w:hAnsi="Arial" w:cs="Arial"/>
          <w:sz w:val="24"/>
          <w:szCs w:val="24"/>
        </w:rPr>
        <w:t>eligibility needs to be confirmed every 30 days by an AMHP otherwise it will end.</w:t>
      </w:r>
      <w:r w:rsidRPr="008C43DE">
        <w:rPr>
          <w:rStyle w:val="cf01"/>
        </w:rPr>
        <w:t xml:space="preserve"> </w:t>
      </w:r>
      <w:r w:rsidR="00271F99" w:rsidRPr="008C43DE">
        <w:t xml:space="preserve">the </w:t>
      </w:r>
      <w:r w:rsidR="004207B6" w:rsidRPr="008C43DE">
        <w:t xml:space="preserve">moratorium </w:t>
      </w:r>
      <w:r w:rsidR="00BB2C1F">
        <w:t xml:space="preserve">can be cancelled </w:t>
      </w:r>
      <w:r w:rsidR="00271F99" w:rsidRPr="008C43DE">
        <w:t xml:space="preserve">if ongoing liabilities are not paid during the period. </w:t>
      </w:r>
    </w:p>
    <w:p w14:paraId="54DA7DB5" w14:textId="7B6D3499" w:rsidR="001A262D" w:rsidRDefault="001A262D" w:rsidP="00F63159">
      <w:pPr>
        <w:pStyle w:val="Normalnumbered"/>
        <w:rPr>
          <w:lang w:eastAsia="en-GB"/>
        </w:rPr>
      </w:pPr>
      <w:r>
        <w:rPr>
          <w:lang w:eastAsia="en-GB"/>
        </w:rPr>
        <w:lastRenderedPageBreak/>
        <w:t>S</w:t>
      </w:r>
      <w:r w:rsidRPr="0043486B">
        <w:rPr>
          <w:lang w:eastAsia="en-GB"/>
        </w:rPr>
        <w:t>takeholders</w:t>
      </w:r>
      <w:r>
        <w:rPr>
          <w:lang w:eastAsia="en-GB"/>
        </w:rPr>
        <w:t>,</w:t>
      </w:r>
      <w:r w:rsidRPr="0043486B">
        <w:rPr>
          <w:lang w:eastAsia="en-GB"/>
        </w:rPr>
        <w:t xml:space="preserve"> including those who use the </w:t>
      </w:r>
      <w:r w:rsidR="00CF2679">
        <w:rPr>
          <w:lang w:eastAsia="en-GB"/>
        </w:rPr>
        <w:t xml:space="preserve">MHCBS </w:t>
      </w:r>
      <w:r w:rsidRPr="0043486B">
        <w:rPr>
          <w:lang w:eastAsia="en-GB"/>
        </w:rPr>
        <w:t>in England and Wales</w:t>
      </w:r>
      <w:r>
        <w:rPr>
          <w:lang w:eastAsia="en-GB"/>
        </w:rPr>
        <w:t>,</w:t>
      </w:r>
      <w:r w:rsidRPr="0043486B">
        <w:rPr>
          <w:lang w:eastAsia="en-GB"/>
        </w:rPr>
        <w:t xml:space="preserve"> </w:t>
      </w:r>
      <w:r>
        <w:rPr>
          <w:lang w:eastAsia="en-GB"/>
        </w:rPr>
        <w:t>recommended</w:t>
      </w:r>
      <w:r w:rsidRPr="0043486B">
        <w:rPr>
          <w:lang w:eastAsia="en-GB"/>
        </w:rPr>
        <w:t xml:space="preserve"> engag</w:t>
      </w:r>
      <w:r>
        <w:rPr>
          <w:lang w:eastAsia="en-GB"/>
        </w:rPr>
        <w:t>ing</w:t>
      </w:r>
      <w:r w:rsidRPr="0043486B">
        <w:rPr>
          <w:lang w:eastAsia="en-GB"/>
        </w:rPr>
        <w:t xml:space="preserve"> with mental health </w:t>
      </w:r>
      <w:r>
        <w:rPr>
          <w:lang w:eastAsia="en-GB"/>
        </w:rPr>
        <w:t>experts</w:t>
      </w:r>
      <w:r w:rsidRPr="0043486B">
        <w:rPr>
          <w:lang w:eastAsia="en-GB"/>
        </w:rPr>
        <w:t xml:space="preserve"> and other key stakeholders </w:t>
      </w:r>
      <w:r>
        <w:rPr>
          <w:lang w:eastAsia="en-GB"/>
        </w:rPr>
        <w:t>while</w:t>
      </w:r>
      <w:r w:rsidRPr="0043486B">
        <w:rPr>
          <w:lang w:eastAsia="en-GB"/>
        </w:rPr>
        <w:t xml:space="preserve"> developing the</w:t>
      </w:r>
      <w:r>
        <w:rPr>
          <w:lang w:eastAsia="en-GB"/>
        </w:rPr>
        <w:t xml:space="preserve"> </w:t>
      </w:r>
      <w:r w:rsidR="00DF7BC5">
        <w:rPr>
          <w:lang w:eastAsia="en-GB"/>
        </w:rPr>
        <w:t xml:space="preserve">MHM </w:t>
      </w:r>
      <w:r>
        <w:rPr>
          <w:lang w:eastAsia="en-GB"/>
        </w:rPr>
        <w:t>process</w:t>
      </w:r>
      <w:r w:rsidRPr="0043486B">
        <w:rPr>
          <w:lang w:eastAsia="en-GB"/>
        </w:rPr>
        <w:t xml:space="preserve">. </w:t>
      </w:r>
    </w:p>
    <w:p w14:paraId="2D258DB3" w14:textId="119EDC5F" w:rsidR="003B18B5" w:rsidRPr="001A262D" w:rsidRDefault="003B18B5" w:rsidP="00F63159">
      <w:pPr>
        <w:pStyle w:val="Normalnumbered"/>
        <w:rPr>
          <w:lang w:eastAsia="en-GB"/>
        </w:rPr>
      </w:pPr>
      <w:r>
        <w:rPr>
          <w:lang w:eastAsia="en-GB"/>
        </w:rPr>
        <w:t>A</w:t>
      </w:r>
      <w:r w:rsidR="001A262D">
        <w:rPr>
          <w:lang w:eastAsia="en-GB"/>
        </w:rPr>
        <w:t>s a result of this recommendation, a</w:t>
      </w:r>
      <w:r w:rsidRPr="0043486B">
        <w:rPr>
          <w:lang w:eastAsia="en-GB"/>
        </w:rPr>
        <w:t xml:space="preserve"> working group </w:t>
      </w:r>
      <w:r>
        <w:rPr>
          <w:lang w:eastAsia="en-GB"/>
        </w:rPr>
        <w:t xml:space="preserve">was formed to look at possible ways the </w:t>
      </w:r>
      <w:r w:rsidR="00DF7BC5">
        <w:rPr>
          <w:lang w:eastAsia="en-GB"/>
        </w:rPr>
        <w:t>MHM</w:t>
      </w:r>
      <w:r>
        <w:rPr>
          <w:lang w:eastAsia="en-GB"/>
        </w:rPr>
        <w:t xml:space="preserve"> could work in practice. The membership </w:t>
      </w:r>
      <w:r w:rsidR="001A262D">
        <w:rPr>
          <w:lang w:eastAsia="en-GB"/>
        </w:rPr>
        <w:t xml:space="preserve">includes </w:t>
      </w:r>
      <w:r w:rsidRPr="0043486B">
        <w:rPr>
          <w:lang w:eastAsia="en-GB"/>
        </w:rPr>
        <w:t xml:space="preserve">mental health professionals, representatives from the </w:t>
      </w:r>
      <w:r w:rsidRPr="0043486B">
        <w:t>debt advice community and</w:t>
      </w:r>
      <w:r w:rsidR="0047231F">
        <w:t xml:space="preserve"> the</w:t>
      </w:r>
      <w:r w:rsidRPr="0043486B">
        <w:t xml:space="preserve"> creditor sector.</w:t>
      </w:r>
      <w:r>
        <w:t xml:space="preserve"> </w:t>
      </w:r>
    </w:p>
    <w:p w14:paraId="32EFC8A3" w14:textId="40A767CC" w:rsidR="005F2797" w:rsidRPr="00544291" w:rsidRDefault="009E278E" w:rsidP="000E6201">
      <w:pPr>
        <w:pStyle w:val="Heading1"/>
      </w:pPr>
      <w:bookmarkStart w:id="12" w:name="_Toc135390764"/>
      <w:bookmarkStart w:id="13" w:name="_Toc137650310"/>
      <w:bookmarkStart w:id="14" w:name="_Toc142992101"/>
      <w:r>
        <w:rPr>
          <w:rFonts w:eastAsia="Arial"/>
        </w:rPr>
        <w:t>Aspects of the mental health moratorium</w:t>
      </w:r>
      <w:bookmarkEnd w:id="12"/>
      <w:bookmarkEnd w:id="13"/>
      <w:bookmarkEnd w:id="14"/>
    </w:p>
    <w:p w14:paraId="7192B6A3" w14:textId="3E62AA37" w:rsidR="00864ACF" w:rsidRDefault="001A262D" w:rsidP="00F63159">
      <w:pPr>
        <w:pStyle w:val="Normalnumbered"/>
      </w:pPr>
      <w:r>
        <w:t>From the outset, t</w:t>
      </w:r>
      <w:r w:rsidR="005F2797" w:rsidRPr="004C2962">
        <w:t xml:space="preserve">he group </w:t>
      </w:r>
      <w:r w:rsidR="00864ACF">
        <w:t>discussed</w:t>
      </w:r>
      <w:r w:rsidR="005F2797" w:rsidRPr="004C2962">
        <w:t xml:space="preserve"> </w:t>
      </w:r>
      <w:r w:rsidR="009E278E">
        <w:t xml:space="preserve">what aspects of the moratorium were important to </w:t>
      </w:r>
      <w:r w:rsidR="00864ACF">
        <w:t xml:space="preserve">consider in creating </w:t>
      </w:r>
      <w:r w:rsidR="000909AD">
        <w:t>a</w:t>
      </w:r>
      <w:r w:rsidR="00864ACF">
        <w:t xml:space="preserve"> framework for the process. They agreed the following were the most important areas to resolve:</w:t>
      </w:r>
    </w:p>
    <w:p w14:paraId="5A84A057" w14:textId="4CA26BF0" w:rsidR="00864ACF" w:rsidRPr="00864ACF" w:rsidRDefault="004207B6" w:rsidP="00D70313">
      <w:pPr>
        <w:pStyle w:val="Bulletpoints"/>
      </w:pPr>
      <w:r>
        <w:t>e</w:t>
      </w:r>
      <w:r w:rsidR="00864ACF" w:rsidRPr="00864ACF">
        <w:t>ntry criteria</w:t>
      </w:r>
    </w:p>
    <w:p w14:paraId="3E3F2E6F" w14:textId="0E13BCD8" w:rsidR="00864ACF" w:rsidRPr="00864ACF" w:rsidRDefault="004207B6" w:rsidP="00D70313">
      <w:pPr>
        <w:pStyle w:val="Bulletpoints"/>
      </w:pPr>
      <w:r>
        <w:t>p</w:t>
      </w:r>
      <w:r w:rsidR="00864ACF" w:rsidRPr="00864ACF">
        <w:t>eriod of the moratorium</w:t>
      </w:r>
    </w:p>
    <w:p w14:paraId="0441BF00" w14:textId="0A3F534E" w:rsidR="00864ACF" w:rsidRPr="00864ACF" w:rsidRDefault="004207B6" w:rsidP="00D70313">
      <w:pPr>
        <w:pStyle w:val="Bulletpoints"/>
      </w:pPr>
      <w:r>
        <w:t>l</w:t>
      </w:r>
      <w:r w:rsidR="004C382F">
        <w:t>evels</w:t>
      </w:r>
      <w:r w:rsidR="00864ACF" w:rsidRPr="00864ACF">
        <w:t xml:space="preserve"> of protection provided by the moratorium</w:t>
      </w:r>
    </w:p>
    <w:p w14:paraId="659FD25D" w14:textId="0322F282" w:rsidR="00855CDD" w:rsidRPr="00864ACF" w:rsidRDefault="004207B6" w:rsidP="00D70313">
      <w:pPr>
        <w:pStyle w:val="bulletsafter18"/>
      </w:pPr>
      <w:r>
        <w:t>e</w:t>
      </w:r>
      <w:r w:rsidR="00864ACF" w:rsidRPr="00864ACF">
        <w:t>xit from the moratorium</w:t>
      </w:r>
      <w:r w:rsidR="005F2797" w:rsidRPr="00864ACF">
        <w:t xml:space="preserve"> </w:t>
      </w:r>
    </w:p>
    <w:p w14:paraId="0AD51687" w14:textId="3B33F04A" w:rsidR="008B0787" w:rsidRDefault="001B2B90" w:rsidP="00F63159">
      <w:pPr>
        <w:pStyle w:val="Normalnumbered"/>
      </w:pPr>
      <w:r>
        <w:t>They also</w:t>
      </w:r>
      <w:r w:rsidR="008C2E90">
        <w:t xml:space="preserve"> a</w:t>
      </w:r>
      <w:r w:rsidR="002D2656">
        <w:t xml:space="preserve">cknowledged </w:t>
      </w:r>
      <w:r>
        <w:t xml:space="preserve">that </w:t>
      </w:r>
      <w:r w:rsidR="00FE704C">
        <w:t xml:space="preserve">it was important to </w:t>
      </w:r>
      <w:r w:rsidR="002D2656">
        <w:t xml:space="preserve">learn lessons from the </w:t>
      </w:r>
      <w:r w:rsidR="00BF746D">
        <w:t>MHCBS</w:t>
      </w:r>
      <w:r w:rsidR="00515729" w:rsidRPr="00D41AF3">
        <w:t xml:space="preserve"> </w:t>
      </w:r>
      <w:r w:rsidR="005D0C3A">
        <w:t>introduced in England and Wales</w:t>
      </w:r>
      <w:r w:rsidR="00FF460C">
        <w:t xml:space="preserve"> and the importance in</w:t>
      </w:r>
      <w:r w:rsidR="00CB51DE">
        <w:t xml:space="preserve"> c</w:t>
      </w:r>
      <w:r w:rsidR="005D0C3A">
        <w:t>onsider</w:t>
      </w:r>
      <w:r w:rsidR="00FF460C">
        <w:t>ing</w:t>
      </w:r>
      <w:r w:rsidR="005D0C3A">
        <w:t xml:space="preserve"> </w:t>
      </w:r>
      <w:r w:rsidR="008B0787">
        <w:t>the following</w:t>
      </w:r>
      <w:r w:rsidR="00B95DF9">
        <w:t xml:space="preserve"> for </w:t>
      </w:r>
      <w:r w:rsidR="00FF460C">
        <w:t>a</w:t>
      </w:r>
      <w:r w:rsidR="00B95DF9">
        <w:t xml:space="preserve"> Scottish </w:t>
      </w:r>
      <w:r w:rsidR="00DF7BC5">
        <w:t>MHM</w:t>
      </w:r>
      <w:r w:rsidR="008B0787">
        <w:t>:</w:t>
      </w:r>
    </w:p>
    <w:p w14:paraId="3774E634" w14:textId="1823E4AF" w:rsidR="00765400" w:rsidRDefault="0046323E" w:rsidP="00D70313">
      <w:pPr>
        <w:pStyle w:val="Bulletpoints"/>
      </w:pPr>
      <w:r>
        <w:t xml:space="preserve">defining the problem we are trying to solve </w:t>
      </w:r>
    </w:p>
    <w:p w14:paraId="3408DB47" w14:textId="03443E53" w:rsidR="00765400" w:rsidRDefault="00765400" w:rsidP="00D70313">
      <w:pPr>
        <w:pStyle w:val="Bulletpoints"/>
      </w:pPr>
      <w:r w:rsidRPr="008B0787">
        <w:t xml:space="preserve">what is a mental health crisis </w:t>
      </w:r>
    </w:p>
    <w:p w14:paraId="68881F6B" w14:textId="5D0C2F06" w:rsidR="008B0787" w:rsidRDefault="005D0C3A" w:rsidP="00D70313">
      <w:pPr>
        <w:pStyle w:val="Bulletpoints"/>
      </w:pPr>
      <w:r w:rsidRPr="008B0787">
        <w:t xml:space="preserve">how the mental health sector works in practice </w:t>
      </w:r>
    </w:p>
    <w:p w14:paraId="221DAFBD" w14:textId="7C8C3DC8" w:rsidR="00E7566B" w:rsidRPr="008B0787" w:rsidRDefault="005D0C3A" w:rsidP="00D70313">
      <w:pPr>
        <w:pStyle w:val="bulletsafter18"/>
      </w:pPr>
      <w:r w:rsidRPr="008B0787">
        <w:t>defin</w:t>
      </w:r>
      <w:r w:rsidR="00186CDB">
        <w:t xml:space="preserve">ing a </w:t>
      </w:r>
      <w:r w:rsidRPr="008B0787">
        <w:t>mental health professional</w:t>
      </w:r>
      <w:r w:rsidR="00186CDB">
        <w:t xml:space="preserve"> and </w:t>
      </w:r>
      <w:r w:rsidRPr="008B0787">
        <w:t xml:space="preserve">mental health treatment </w:t>
      </w:r>
    </w:p>
    <w:p w14:paraId="563ED568" w14:textId="6350B413" w:rsidR="00E7566B" w:rsidRDefault="00133414" w:rsidP="00F63159">
      <w:pPr>
        <w:pStyle w:val="Normalnumbered"/>
      </w:pPr>
      <w:r>
        <w:t xml:space="preserve">Through </w:t>
      </w:r>
      <w:r w:rsidR="00672594">
        <w:t xml:space="preserve">discussions about the mental health landscape and the </w:t>
      </w:r>
      <w:r w:rsidR="00B95DF9">
        <w:t>spectrum of mental health issues</w:t>
      </w:r>
      <w:r w:rsidR="00107EE8">
        <w:t>,</w:t>
      </w:r>
      <w:r w:rsidR="00B95DF9">
        <w:t xml:space="preserve"> the group believe </w:t>
      </w:r>
      <w:r w:rsidR="00EA76A4">
        <w:t xml:space="preserve">the </w:t>
      </w:r>
      <w:r w:rsidR="00DF7BC5">
        <w:t>MHM</w:t>
      </w:r>
      <w:r w:rsidR="00EA76A4">
        <w:t xml:space="preserve"> should provide protection to those </w:t>
      </w:r>
      <w:r w:rsidR="005B1D83">
        <w:t xml:space="preserve">who are receiving treatment </w:t>
      </w:r>
      <w:r w:rsidR="00D12457" w:rsidRPr="007C2A94">
        <w:t xml:space="preserve">with a compulsory </w:t>
      </w:r>
      <w:r w:rsidR="00C106E8" w:rsidRPr="007C2A94">
        <w:t xml:space="preserve">element </w:t>
      </w:r>
      <w:r w:rsidR="005B1D83" w:rsidRPr="007C2A94">
        <w:t xml:space="preserve">for </w:t>
      </w:r>
      <w:r w:rsidR="00C106E8" w:rsidRPr="007C2A94">
        <w:t>their</w:t>
      </w:r>
      <w:r w:rsidR="00C106E8">
        <w:t xml:space="preserve"> </w:t>
      </w:r>
      <w:r w:rsidR="00EA76A4">
        <w:t xml:space="preserve">severe mental </w:t>
      </w:r>
      <w:r w:rsidR="00EA76A4">
        <w:lastRenderedPageBreak/>
        <w:t>health issues and are</w:t>
      </w:r>
      <w:r w:rsidR="005B1D83">
        <w:t xml:space="preserve"> unable to address their debt problems which may </w:t>
      </w:r>
      <w:r w:rsidR="00EE2A51">
        <w:t>be impacting on their mental health</w:t>
      </w:r>
      <w:r w:rsidR="00E7566B">
        <w:t>.</w:t>
      </w:r>
      <w:r w:rsidR="00EA76A4">
        <w:t xml:space="preserve"> The purpose of the moratorium should be to provide the individual with space and time to focus on </w:t>
      </w:r>
      <w:r w:rsidR="00E4003F">
        <w:t>addressing their mental health issues.</w:t>
      </w:r>
      <w:r w:rsidR="00E7566B">
        <w:t xml:space="preserve"> </w:t>
      </w:r>
    </w:p>
    <w:p w14:paraId="7CC7C9E5" w14:textId="5121F41E" w:rsidR="001A53E5" w:rsidRPr="00740004" w:rsidRDefault="001A53E5" w:rsidP="00F63159">
      <w:pPr>
        <w:pStyle w:val="Normalnumbered"/>
      </w:pPr>
      <w:r w:rsidRPr="00740004">
        <w:t xml:space="preserve">In considering </w:t>
      </w:r>
      <w:r w:rsidR="00B360FF" w:rsidRPr="00740004">
        <w:t>the purpose of the</w:t>
      </w:r>
      <w:r w:rsidR="00771265" w:rsidRPr="00740004">
        <w:t xml:space="preserve"> </w:t>
      </w:r>
      <w:r w:rsidR="00DF7BC5">
        <w:t>MHM</w:t>
      </w:r>
      <w:r w:rsidR="006410EB" w:rsidRPr="00740004">
        <w:t>,</w:t>
      </w:r>
      <w:r w:rsidR="00771265" w:rsidRPr="00740004">
        <w:t xml:space="preserve"> the group </w:t>
      </w:r>
      <w:r w:rsidR="00EC3B41" w:rsidRPr="00740004">
        <w:t>believe</w:t>
      </w:r>
      <w:r w:rsidR="00771265" w:rsidRPr="00740004">
        <w:t xml:space="preserve"> that </w:t>
      </w:r>
      <w:r w:rsidR="00D21056" w:rsidRPr="00740004">
        <w:t xml:space="preserve">any </w:t>
      </w:r>
      <w:r w:rsidR="000208CC">
        <w:t>proposal</w:t>
      </w:r>
      <w:r w:rsidR="006F504E" w:rsidRPr="00740004">
        <w:t xml:space="preserve"> in this report which </w:t>
      </w:r>
      <w:r w:rsidR="00842D69" w:rsidRPr="00740004">
        <w:t>is</w:t>
      </w:r>
      <w:r w:rsidR="006F504E" w:rsidRPr="00740004">
        <w:t xml:space="preserve"> introduced should be subject to review. </w:t>
      </w:r>
      <w:r w:rsidR="007C268C" w:rsidRPr="00740004">
        <w:t xml:space="preserve">After a </w:t>
      </w:r>
      <w:r w:rsidR="009B3C74" w:rsidRPr="00740004">
        <w:t xml:space="preserve">reasonable </w:t>
      </w:r>
      <w:r w:rsidR="00782395" w:rsidRPr="00740004">
        <w:t>period of time</w:t>
      </w:r>
      <w:r w:rsidR="009B3C74" w:rsidRPr="00740004">
        <w:t xml:space="preserve"> </w:t>
      </w:r>
      <w:r w:rsidR="00842D69" w:rsidRPr="00740004">
        <w:t xml:space="preserve">has lapsed </w:t>
      </w:r>
      <w:r w:rsidR="009B3C74" w:rsidRPr="00740004">
        <w:t xml:space="preserve">from </w:t>
      </w:r>
      <w:r w:rsidR="00664EAA" w:rsidRPr="00740004">
        <w:t xml:space="preserve">the </w:t>
      </w:r>
      <w:r w:rsidR="009B3C74" w:rsidRPr="00740004">
        <w:t xml:space="preserve">introduction </w:t>
      </w:r>
      <w:r w:rsidR="00664EAA" w:rsidRPr="00740004">
        <w:t xml:space="preserve">of the </w:t>
      </w:r>
      <w:r w:rsidR="00DF7BC5">
        <w:t>MHM</w:t>
      </w:r>
      <w:r w:rsidR="00664EAA" w:rsidRPr="00740004">
        <w:t xml:space="preserve"> </w:t>
      </w:r>
      <w:r w:rsidR="009B3C74" w:rsidRPr="00740004">
        <w:t>which can determine</w:t>
      </w:r>
      <w:r w:rsidR="001E4FF8" w:rsidRPr="00740004">
        <w:t xml:space="preserve"> </w:t>
      </w:r>
      <w:r w:rsidR="009B3C74" w:rsidRPr="00740004">
        <w:t xml:space="preserve">whether the moratorium has </w:t>
      </w:r>
      <w:r w:rsidR="001E4FF8" w:rsidRPr="00740004">
        <w:t xml:space="preserve">met </w:t>
      </w:r>
      <w:r w:rsidR="00F229AB" w:rsidRPr="00740004">
        <w:t>its</w:t>
      </w:r>
      <w:r w:rsidR="001E4FF8" w:rsidRPr="00740004">
        <w:t xml:space="preserve"> primary objective</w:t>
      </w:r>
      <w:r w:rsidR="004207B6" w:rsidRPr="00740004">
        <w:t>,</w:t>
      </w:r>
      <w:r w:rsidR="001E4FF8" w:rsidRPr="00740004">
        <w:t xml:space="preserve"> each aspect of the process should be </w:t>
      </w:r>
      <w:r w:rsidR="00D517A5" w:rsidRPr="00740004">
        <w:t>reviewed and amended where appropriate.</w:t>
      </w:r>
      <w:r w:rsidR="006C2822">
        <w:t xml:space="preserve"> </w:t>
      </w:r>
      <w:r w:rsidR="00F43153" w:rsidRPr="007C2A94">
        <w:t>Drafting</w:t>
      </w:r>
      <w:r w:rsidR="006C2822" w:rsidRPr="007C2A94">
        <w:t xml:space="preserve"> the detail of the moratorium</w:t>
      </w:r>
      <w:r w:rsidR="00BF0E7C" w:rsidRPr="007C2A94">
        <w:t xml:space="preserve"> process </w:t>
      </w:r>
      <w:r w:rsidR="00BF4953" w:rsidRPr="007C2A94">
        <w:t xml:space="preserve">in </w:t>
      </w:r>
      <w:r w:rsidR="00EA78E9" w:rsidRPr="007C2A94">
        <w:t>secondary</w:t>
      </w:r>
      <w:r w:rsidR="00002BD7" w:rsidRPr="007C2A94">
        <w:t>,</w:t>
      </w:r>
      <w:r w:rsidR="00EA78E9" w:rsidRPr="007C2A94">
        <w:t xml:space="preserve"> rather than primary</w:t>
      </w:r>
      <w:r w:rsidR="00002BD7" w:rsidRPr="007C2A94">
        <w:t>,</w:t>
      </w:r>
      <w:r w:rsidR="007070AF" w:rsidRPr="007C2A94">
        <w:t xml:space="preserve"> legislation</w:t>
      </w:r>
      <w:r w:rsidR="00EA78E9" w:rsidRPr="007C2A94">
        <w:t xml:space="preserve"> </w:t>
      </w:r>
      <w:r w:rsidR="00AD1B53" w:rsidRPr="007C2A94">
        <w:t xml:space="preserve">will </w:t>
      </w:r>
      <w:r w:rsidR="00501481" w:rsidRPr="007C2A94">
        <w:t>mean</w:t>
      </w:r>
      <w:r w:rsidR="00380551" w:rsidRPr="007C2A94">
        <w:t xml:space="preserve"> it </w:t>
      </w:r>
      <w:r w:rsidR="00501481" w:rsidRPr="007C2A94">
        <w:t xml:space="preserve">is </w:t>
      </w:r>
      <w:r w:rsidR="00380551" w:rsidRPr="007C2A94">
        <w:t xml:space="preserve">easier and quicker </w:t>
      </w:r>
      <w:r w:rsidR="00DE382F" w:rsidRPr="007C2A94">
        <w:t xml:space="preserve">to make </w:t>
      </w:r>
      <w:r w:rsidR="00F43153" w:rsidRPr="007C2A94">
        <w:t xml:space="preserve">any </w:t>
      </w:r>
      <w:r w:rsidR="00DE382F" w:rsidRPr="007C2A94">
        <w:t xml:space="preserve">necessary </w:t>
      </w:r>
      <w:r w:rsidR="00F43153" w:rsidRPr="007C2A94">
        <w:t>amendments</w:t>
      </w:r>
      <w:r w:rsidR="00DE382F" w:rsidRPr="007C2A94">
        <w:t xml:space="preserve"> which have been identified from </w:t>
      </w:r>
      <w:r w:rsidR="002E0A7D" w:rsidRPr="007C2A94">
        <w:t xml:space="preserve">the </w:t>
      </w:r>
      <w:r w:rsidR="00DE382F" w:rsidRPr="007C2A94">
        <w:t>‘real world’ experience</w:t>
      </w:r>
      <w:r w:rsidR="002E0A7D" w:rsidRPr="007C2A94">
        <w:t xml:space="preserve"> of the</w:t>
      </w:r>
      <w:r w:rsidR="00DF7BC5" w:rsidRPr="007C2A94">
        <w:t xml:space="preserve"> MHM</w:t>
      </w:r>
      <w:r w:rsidR="002E0A7D" w:rsidRPr="007C2A94">
        <w:t xml:space="preserve">. This may include </w:t>
      </w:r>
      <w:r w:rsidR="00600C00" w:rsidRPr="007C2A94">
        <w:t>the widening, or narrowing, of the entry criteria or increasing, or reducing, the protection periods</w:t>
      </w:r>
      <w:r w:rsidR="00DF7BC5" w:rsidRPr="007C2A94">
        <w:t>.</w:t>
      </w:r>
    </w:p>
    <w:p w14:paraId="0859A453" w14:textId="74F1B0EF" w:rsidR="00544291" w:rsidRPr="00544291" w:rsidRDefault="00C961A1" w:rsidP="005F3B2F">
      <w:pPr>
        <w:pStyle w:val="Heading2"/>
      </w:pPr>
      <w:bookmarkStart w:id="15" w:name="_Toc100244823"/>
      <w:bookmarkStart w:id="16" w:name="_Toc135390765"/>
      <w:bookmarkStart w:id="17" w:name="_Toc137650311"/>
      <w:bookmarkStart w:id="18" w:name="_Toc142992102"/>
      <w:r>
        <w:rPr>
          <w:rFonts w:eastAsia="Arial"/>
        </w:rPr>
        <w:t>Entry criteria</w:t>
      </w:r>
      <w:bookmarkEnd w:id="15"/>
      <w:bookmarkEnd w:id="16"/>
      <w:bookmarkEnd w:id="17"/>
      <w:bookmarkEnd w:id="18"/>
    </w:p>
    <w:p w14:paraId="7B6CED8B" w14:textId="205AC118" w:rsidR="005F2797" w:rsidRPr="00544291" w:rsidRDefault="005F2797" w:rsidP="005F3B2F">
      <w:pPr>
        <w:pStyle w:val="Heading3"/>
      </w:pPr>
      <w:r w:rsidRPr="008E2E0E">
        <w:rPr>
          <w:rFonts w:eastAsia="Arial"/>
        </w:rPr>
        <w:t>Discussion</w:t>
      </w:r>
      <w:r w:rsidRPr="004C2962">
        <w:rPr>
          <w:rFonts w:eastAsia="Arial"/>
        </w:rPr>
        <w:t xml:space="preserve"> </w:t>
      </w:r>
    </w:p>
    <w:p w14:paraId="27652458" w14:textId="7A88BB7F" w:rsidR="000734BC" w:rsidRPr="000734BC" w:rsidRDefault="000734BC" w:rsidP="00F63159">
      <w:pPr>
        <w:pStyle w:val="Normalnumbered"/>
        <w:rPr>
          <w:b/>
          <w:bCs/>
        </w:rPr>
      </w:pPr>
      <w:r>
        <w:t xml:space="preserve">The current entry criteria for </w:t>
      </w:r>
      <w:r w:rsidR="00515729">
        <w:t>MH</w:t>
      </w:r>
      <w:r w:rsidR="0047231F">
        <w:t>C</w:t>
      </w:r>
      <w:r w:rsidR="00515729">
        <w:t xml:space="preserve">BS </w:t>
      </w:r>
      <w:r w:rsidR="00DF7BC5">
        <w:t>were</w:t>
      </w:r>
      <w:r>
        <w:t xml:space="preserve"> discussed</w:t>
      </w:r>
      <w:r w:rsidR="00737CD4">
        <w:t xml:space="preserve">. </w:t>
      </w:r>
      <w:r w:rsidR="00D355A0">
        <w:t xml:space="preserve">It was </w:t>
      </w:r>
      <w:r w:rsidR="0024781F">
        <w:t>highlighted that</w:t>
      </w:r>
      <w:r w:rsidR="00E42368">
        <w:t>, in its first year,</w:t>
      </w:r>
      <w:r w:rsidR="0024781F">
        <w:t xml:space="preserve"> the number of MHCBS were significantly lower than predicted</w:t>
      </w:r>
      <w:r w:rsidR="005F5E8F">
        <w:t>.</w:t>
      </w:r>
      <w:r w:rsidR="005B6D05">
        <w:t xml:space="preserve"> </w:t>
      </w:r>
      <w:r w:rsidR="005F5E8F" w:rsidRPr="00322862">
        <w:rPr>
          <w:rStyle w:val="cf01"/>
          <w:rFonts w:ascii="Arial" w:hAnsi="Arial" w:cs="Arial"/>
          <w:sz w:val="24"/>
          <w:szCs w:val="24"/>
        </w:rPr>
        <w:t xml:space="preserve">There is a belief </w:t>
      </w:r>
      <w:r w:rsidR="00E625B9">
        <w:rPr>
          <w:rStyle w:val="cf01"/>
          <w:rFonts w:ascii="Arial" w:hAnsi="Arial" w:cs="Arial"/>
          <w:sz w:val="24"/>
          <w:szCs w:val="24"/>
        </w:rPr>
        <w:t xml:space="preserve">that </w:t>
      </w:r>
      <w:r w:rsidR="007F1FE1" w:rsidRPr="00322862">
        <w:rPr>
          <w:rStyle w:val="cf01"/>
          <w:rFonts w:ascii="Arial" w:hAnsi="Arial" w:cs="Arial"/>
          <w:sz w:val="24"/>
          <w:szCs w:val="24"/>
        </w:rPr>
        <w:t xml:space="preserve">the lower numbers </w:t>
      </w:r>
      <w:r w:rsidR="00B002C5" w:rsidRPr="00322862">
        <w:rPr>
          <w:rStyle w:val="cf01"/>
          <w:rFonts w:ascii="Arial" w:hAnsi="Arial" w:cs="Arial"/>
          <w:sz w:val="24"/>
          <w:szCs w:val="24"/>
        </w:rPr>
        <w:t>were</w:t>
      </w:r>
      <w:r w:rsidR="007F1FE1" w:rsidRPr="00322862">
        <w:rPr>
          <w:rStyle w:val="cf01"/>
          <w:rFonts w:ascii="Arial" w:hAnsi="Arial" w:cs="Arial"/>
          <w:sz w:val="24"/>
          <w:szCs w:val="24"/>
        </w:rPr>
        <w:t xml:space="preserve"> due to</w:t>
      </w:r>
      <w:r w:rsidR="005F5E8F" w:rsidRPr="00322862">
        <w:rPr>
          <w:rStyle w:val="cf01"/>
          <w:rFonts w:ascii="Arial" w:hAnsi="Arial" w:cs="Arial"/>
          <w:sz w:val="24"/>
          <w:szCs w:val="24"/>
        </w:rPr>
        <w:t xml:space="preserve"> certain aspects of the entry criteria being too restrictive -- </w:t>
      </w:r>
      <w:r w:rsidR="005F5E8F" w:rsidRPr="007C2A94">
        <w:rPr>
          <w:rStyle w:val="cf01"/>
          <w:rFonts w:ascii="Arial" w:hAnsi="Arial" w:cs="Arial"/>
          <w:sz w:val="24"/>
          <w:szCs w:val="24"/>
        </w:rPr>
        <w:t xml:space="preserve">such as </w:t>
      </w:r>
      <w:r w:rsidR="001E34F0" w:rsidRPr="007C2A94">
        <w:rPr>
          <w:rStyle w:val="cf01"/>
          <w:rFonts w:ascii="Arial" w:hAnsi="Arial" w:cs="Arial"/>
          <w:sz w:val="24"/>
          <w:szCs w:val="24"/>
        </w:rPr>
        <w:t>only allowing a</w:t>
      </w:r>
      <w:r w:rsidR="00DF7BC5" w:rsidRPr="007C2A94">
        <w:rPr>
          <w:rStyle w:val="cf01"/>
          <w:rFonts w:ascii="Arial" w:hAnsi="Arial" w:cs="Arial"/>
          <w:sz w:val="24"/>
          <w:szCs w:val="24"/>
        </w:rPr>
        <w:t>n</w:t>
      </w:r>
      <w:r w:rsidR="00D62E95" w:rsidRPr="007C2A94">
        <w:rPr>
          <w:rStyle w:val="cf01"/>
          <w:rFonts w:ascii="Arial" w:hAnsi="Arial" w:cs="Arial"/>
          <w:sz w:val="24"/>
          <w:szCs w:val="24"/>
        </w:rPr>
        <w:t xml:space="preserve"> A</w:t>
      </w:r>
      <w:r w:rsidR="001F3AD0">
        <w:rPr>
          <w:rStyle w:val="cf01"/>
          <w:rFonts w:ascii="Arial" w:hAnsi="Arial" w:cs="Arial"/>
          <w:sz w:val="24"/>
          <w:szCs w:val="24"/>
        </w:rPr>
        <w:t>MHP</w:t>
      </w:r>
      <w:r w:rsidR="005F5E8F" w:rsidRPr="007C2A94">
        <w:rPr>
          <w:rStyle w:val="cf01"/>
          <w:rFonts w:ascii="Arial" w:hAnsi="Arial" w:cs="Arial"/>
          <w:sz w:val="24"/>
          <w:szCs w:val="24"/>
        </w:rPr>
        <w:t xml:space="preserve"> </w:t>
      </w:r>
      <w:r w:rsidR="00745DC3" w:rsidRPr="007C2A94">
        <w:rPr>
          <w:rStyle w:val="cf01"/>
          <w:rFonts w:ascii="Arial" w:hAnsi="Arial" w:cs="Arial"/>
          <w:sz w:val="24"/>
          <w:szCs w:val="24"/>
        </w:rPr>
        <w:t>to sign the evidence form</w:t>
      </w:r>
      <w:r w:rsidR="005F5E8F" w:rsidRPr="008C43DE">
        <w:rPr>
          <w:rStyle w:val="cf01"/>
          <w:rFonts w:ascii="Arial" w:hAnsi="Arial" w:cs="Arial"/>
          <w:sz w:val="24"/>
          <w:szCs w:val="24"/>
        </w:rPr>
        <w:t>.</w:t>
      </w:r>
      <w:r w:rsidR="005F5E8F" w:rsidRPr="008C43DE">
        <w:rPr>
          <w:rStyle w:val="cf01"/>
        </w:rPr>
        <w:t xml:space="preserve"> </w:t>
      </w:r>
      <w:r w:rsidR="00DC4B40" w:rsidRPr="008C43DE">
        <w:rPr>
          <w:rStyle w:val="cf01"/>
          <w:rFonts w:ascii="Arial" w:hAnsi="Arial" w:cs="Arial"/>
          <w:sz w:val="24"/>
          <w:szCs w:val="24"/>
        </w:rPr>
        <w:t>A further view is that as lenders regulated by the Financial Conduct Authority have a regulatory obligation to support vulnerable customers, appropriate forbearance support for customers in mental health crisis care is being provided by lenders without the need for invoking the legal protection.</w:t>
      </w:r>
      <w:r w:rsidR="00DC4B40" w:rsidRPr="008C43DE">
        <w:rPr>
          <w:rStyle w:val="cf01"/>
        </w:rPr>
        <w:t xml:space="preserve"> </w:t>
      </w:r>
      <w:r w:rsidR="0047231F" w:rsidRPr="008C43DE">
        <w:t>I</w:t>
      </w:r>
      <w:r w:rsidR="006E39B3" w:rsidRPr="008C43DE">
        <w:t>t</w:t>
      </w:r>
      <w:r w:rsidR="006E39B3">
        <w:t xml:space="preserve"> was </w:t>
      </w:r>
      <w:r w:rsidR="004F6C86">
        <w:t xml:space="preserve">also </w:t>
      </w:r>
      <w:r w:rsidR="006E39B3">
        <w:t>acknowledged</w:t>
      </w:r>
      <w:r w:rsidR="0047231F">
        <w:t xml:space="preserve"> </w:t>
      </w:r>
      <w:r w:rsidR="006E39B3">
        <w:t xml:space="preserve">that there </w:t>
      </w:r>
      <w:r w:rsidR="00ED1726">
        <w:t xml:space="preserve">are </w:t>
      </w:r>
      <w:r w:rsidR="006E39B3">
        <w:t>other factors</w:t>
      </w:r>
      <w:r w:rsidR="00ED1726">
        <w:t xml:space="preserve"> which</w:t>
      </w:r>
      <w:r w:rsidR="003E78AE">
        <w:t xml:space="preserve"> </w:t>
      </w:r>
      <w:r w:rsidR="00D30CA1">
        <w:t xml:space="preserve">could have had an impact </w:t>
      </w:r>
      <w:r w:rsidR="003E78AE">
        <w:t>such as</w:t>
      </w:r>
      <w:r w:rsidR="00494935">
        <w:t xml:space="preserve"> a</w:t>
      </w:r>
      <w:r w:rsidR="003E78AE">
        <w:t xml:space="preserve"> lack of awareness</w:t>
      </w:r>
      <w:r w:rsidR="004F6C86">
        <w:t xml:space="preserve"> and the IT system</w:t>
      </w:r>
      <w:r w:rsidR="006E39B3">
        <w:t>.</w:t>
      </w:r>
      <w:r>
        <w:t xml:space="preserve"> </w:t>
      </w:r>
      <w:r w:rsidR="00AA7813">
        <w:t>While</w:t>
      </w:r>
      <w:r>
        <w:t xml:space="preserve"> the group </w:t>
      </w:r>
      <w:r w:rsidR="00AA7813">
        <w:t xml:space="preserve">recognised </w:t>
      </w:r>
      <w:r w:rsidR="007815E4">
        <w:t>concerns around</w:t>
      </w:r>
      <w:r w:rsidR="004B2D66">
        <w:t xml:space="preserve"> </w:t>
      </w:r>
      <w:r w:rsidR="003E78AE">
        <w:t>restrict</w:t>
      </w:r>
      <w:r w:rsidR="007815E4">
        <w:t>ing access to</w:t>
      </w:r>
      <w:r w:rsidR="003E78AE">
        <w:t xml:space="preserve"> </w:t>
      </w:r>
      <w:r w:rsidR="004B2D66">
        <w:t xml:space="preserve">those </w:t>
      </w:r>
      <w:r w:rsidR="007815E4">
        <w:t>who would benefit from the</w:t>
      </w:r>
      <w:r w:rsidR="004B2D66">
        <w:t xml:space="preserve"> </w:t>
      </w:r>
      <w:r w:rsidR="00ED7173">
        <w:t xml:space="preserve">moratorium’s </w:t>
      </w:r>
      <w:r w:rsidR="004B2D66">
        <w:t>protection</w:t>
      </w:r>
      <w:r w:rsidR="004207B6">
        <w:t>,</w:t>
      </w:r>
      <w:r w:rsidR="004B2D66">
        <w:t xml:space="preserve"> </w:t>
      </w:r>
      <w:r w:rsidR="00AA7813">
        <w:t>the</w:t>
      </w:r>
      <w:r w:rsidR="004B2D66">
        <w:t>y also</w:t>
      </w:r>
      <w:r w:rsidR="00B11933">
        <w:t xml:space="preserve"> </w:t>
      </w:r>
      <w:r>
        <w:t xml:space="preserve">believed it was important </w:t>
      </w:r>
      <w:r w:rsidR="00D66C1A">
        <w:t>for</w:t>
      </w:r>
      <w:r>
        <w:t xml:space="preserve"> the entry criteria</w:t>
      </w:r>
      <w:r w:rsidR="00D66C1A">
        <w:t xml:space="preserve"> not to be</w:t>
      </w:r>
      <w:r>
        <w:t xml:space="preserve"> too </w:t>
      </w:r>
      <w:r w:rsidR="001A48EF">
        <w:t>open.</w:t>
      </w:r>
      <w:r>
        <w:t xml:space="preserve"> </w:t>
      </w:r>
      <w:r w:rsidR="001A48EF">
        <w:t>Therefore, it</w:t>
      </w:r>
      <w:r>
        <w:t xml:space="preserve"> would </w:t>
      </w:r>
      <w:r w:rsidR="001A48EF">
        <w:t>appear</w:t>
      </w:r>
      <w:r>
        <w:t xml:space="preserve"> sensible to align </w:t>
      </w:r>
      <w:r w:rsidR="001A48EF">
        <w:t>eligibility</w:t>
      </w:r>
      <w:r>
        <w:t xml:space="preserve"> with conditions that already exist in current </w:t>
      </w:r>
      <w:r w:rsidR="001A48EF">
        <w:t xml:space="preserve">mental health </w:t>
      </w:r>
      <w:r>
        <w:t xml:space="preserve">legislation. </w:t>
      </w:r>
    </w:p>
    <w:p w14:paraId="6E2FFEEF" w14:textId="22B2FD26" w:rsidR="000734BC" w:rsidRDefault="000734BC" w:rsidP="00F63159">
      <w:pPr>
        <w:pStyle w:val="Normalnumbered"/>
      </w:pPr>
      <w:r w:rsidRPr="00D41AF3">
        <w:t>It was suggested that using a list of mental health treatment</w:t>
      </w:r>
      <w:r>
        <w:t>s</w:t>
      </w:r>
      <w:r w:rsidRPr="00D41AF3">
        <w:t xml:space="preserve"> under current legislation </w:t>
      </w:r>
      <w:r>
        <w:t>may</w:t>
      </w:r>
      <w:r w:rsidRPr="00D41AF3">
        <w:t xml:space="preserve"> be </w:t>
      </w:r>
      <w:r w:rsidR="00F5415A">
        <w:t>most appropriate when</w:t>
      </w:r>
      <w:r w:rsidRPr="00D41AF3">
        <w:t xml:space="preserve"> set</w:t>
      </w:r>
      <w:r w:rsidR="00F5415A">
        <w:t>ting</w:t>
      </w:r>
      <w:r w:rsidRPr="00D41AF3">
        <w:t xml:space="preserve"> out the entry criteria for </w:t>
      </w:r>
      <w:r>
        <w:t>a</w:t>
      </w:r>
      <w:r w:rsidRPr="00D41AF3">
        <w:t xml:space="preserve"> </w:t>
      </w:r>
      <w:r w:rsidR="00DF7BC5">
        <w:t xml:space="preserve">MHM </w:t>
      </w:r>
      <w:r>
        <w:lastRenderedPageBreak/>
        <w:t>application</w:t>
      </w:r>
      <w:r w:rsidRPr="00D41AF3">
        <w:t xml:space="preserve">. </w:t>
      </w:r>
      <w:r w:rsidR="00D66C1A">
        <w:t xml:space="preserve">Particularly as the group believe the initial protection period should </w:t>
      </w:r>
      <w:r w:rsidR="00243EF5">
        <w:t xml:space="preserve">focus on the individual’s </w:t>
      </w:r>
      <w:r w:rsidR="003519C0">
        <w:t xml:space="preserve">mental health </w:t>
      </w:r>
      <w:r w:rsidR="00243EF5">
        <w:t>treatment</w:t>
      </w:r>
      <w:r w:rsidR="003519C0">
        <w:t xml:space="preserve">. </w:t>
      </w:r>
      <w:r w:rsidRPr="00D41AF3">
        <w:t>It was noted</w:t>
      </w:r>
      <w:r w:rsidR="003519C0">
        <w:t xml:space="preserve"> that</w:t>
      </w:r>
      <w:r w:rsidRPr="00D41AF3">
        <w:t xml:space="preserve"> definitions of different treatment</w:t>
      </w:r>
      <w:r>
        <w:t>s</w:t>
      </w:r>
      <w:r w:rsidRPr="00D41AF3">
        <w:t xml:space="preserve"> exist across various pieces of legislation and reference to these could be pulled together.</w:t>
      </w:r>
    </w:p>
    <w:p w14:paraId="24FE340A" w14:textId="32482D55" w:rsidR="00411ED0" w:rsidRDefault="00D43FF3" w:rsidP="00F63159">
      <w:pPr>
        <w:pStyle w:val="Normalnumbered"/>
      </w:pPr>
      <w:r>
        <w:t xml:space="preserve">Following </w:t>
      </w:r>
      <w:r w:rsidR="00F5415A">
        <w:t xml:space="preserve">further </w:t>
      </w:r>
      <w:r>
        <w:t xml:space="preserve">discussion, </w:t>
      </w:r>
      <w:r w:rsidR="00F5415A">
        <w:t xml:space="preserve">the </w:t>
      </w:r>
      <w:hyperlink r:id="rId16" w:history="1">
        <w:r w:rsidR="00F5415A" w:rsidRPr="009130C2">
          <w:rPr>
            <w:rStyle w:val="Hyperlink"/>
          </w:rPr>
          <w:t>Mental Health (Care and Treatment) (Scotland) Act 2003</w:t>
        </w:r>
      </w:hyperlink>
      <w:r w:rsidR="00F5415A">
        <w:t xml:space="preserve"> (</w:t>
      </w:r>
      <w:r w:rsidR="0047231F">
        <w:t>“</w:t>
      </w:r>
      <w:r w:rsidR="00F5415A">
        <w:t xml:space="preserve">the 2003 Act”) was highlighted as </w:t>
      </w:r>
      <w:r>
        <w:t xml:space="preserve">the </w:t>
      </w:r>
      <w:r w:rsidR="00F5415A">
        <w:t xml:space="preserve">key piece of legislation </w:t>
      </w:r>
      <w:r w:rsidR="00617727">
        <w:t xml:space="preserve">in Scotland </w:t>
      </w:r>
      <w:r w:rsidR="00411ED0">
        <w:t>relevant to the</w:t>
      </w:r>
      <w:r w:rsidR="001254D5">
        <w:t xml:space="preserve"> type of</w:t>
      </w:r>
      <w:r w:rsidR="00411ED0">
        <w:t xml:space="preserve"> individuals the moratorium </w:t>
      </w:r>
      <w:r w:rsidR="001254D5">
        <w:t>sh</w:t>
      </w:r>
      <w:r w:rsidR="00411ED0">
        <w:t xml:space="preserve">ould seek to help. </w:t>
      </w:r>
    </w:p>
    <w:p w14:paraId="23044BBC" w14:textId="0EC58E42" w:rsidR="00D43FF3" w:rsidRDefault="00617727" w:rsidP="00F63159">
      <w:pPr>
        <w:pStyle w:val="Normalnumbered"/>
      </w:pPr>
      <w:r>
        <w:t xml:space="preserve">The </w:t>
      </w:r>
      <w:r w:rsidR="00D43FF3">
        <w:t xml:space="preserve">group agreed that the entry criteria should be linked to </w:t>
      </w:r>
      <w:r>
        <w:t xml:space="preserve">sections of this </w:t>
      </w:r>
      <w:r w:rsidR="0029430D">
        <w:t>particular A</w:t>
      </w:r>
      <w:r>
        <w:t xml:space="preserve">ct which </w:t>
      </w:r>
      <w:r w:rsidR="00375715">
        <w:t xml:space="preserve">relate to treatments </w:t>
      </w:r>
      <w:r w:rsidR="0029430D">
        <w:t>that</w:t>
      </w:r>
      <w:r w:rsidR="00D43FF3">
        <w:t xml:space="preserve"> allow medical professionals </w:t>
      </w:r>
      <w:r w:rsidR="00375715">
        <w:t>to</w:t>
      </w:r>
      <w:r w:rsidR="00D43FF3">
        <w:t xml:space="preserve"> detain a person with a mental disorder. </w:t>
      </w:r>
      <w:r w:rsidR="00A853D0">
        <w:t>‘</w:t>
      </w:r>
      <w:r w:rsidR="00D43FF3">
        <w:t>Detained</w:t>
      </w:r>
      <w:r w:rsidR="00A853D0">
        <w:t>’</w:t>
      </w:r>
      <w:r w:rsidR="00D43FF3">
        <w:t xml:space="preserve"> in this respect meaning a person is receiving non</w:t>
      </w:r>
      <w:r w:rsidR="000C783A">
        <w:t>-</w:t>
      </w:r>
      <w:r w:rsidR="00D43FF3">
        <w:t xml:space="preserve">voluntary </w:t>
      </w:r>
      <w:r w:rsidR="000C783A" w:rsidRPr="007C2A94">
        <w:t>(compulsory)</w:t>
      </w:r>
      <w:r w:rsidR="000C783A">
        <w:t xml:space="preserve"> </w:t>
      </w:r>
      <w:r w:rsidR="00D43FF3">
        <w:t>treatment whether that be in hospital or in the community</w:t>
      </w:r>
      <w:r w:rsidR="004566AD">
        <w:t xml:space="preserve"> rather than being physically detained</w:t>
      </w:r>
      <w:r w:rsidR="00D43FF3">
        <w:t xml:space="preserve">. </w:t>
      </w:r>
    </w:p>
    <w:p w14:paraId="76DA39D2" w14:textId="66AA9DD2" w:rsidR="00D43FF3" w:rsidRDefault="00D43FF3" w:rsidP="00F63159">
      <w:pPr>
        <w:pStyle w:val="Normalnumbered"/>
      </w:pPr>
      <w:r>
        <w:t>There are three main</w:t>
      </w:r>
      <w:r w:rsidR="007739F9">
        <w:t xml:space="preserve"> </w:t>
      </w:r>
      <w:r w:rsidR="000E168A">
        <w:t xml:space="preserve">treatments </w:t>
      </w:r>
      <w:r w:rsidR="007739F9" w:rsidRPr="007C2A94">
        <w:t>(with compulsory aspects)</w:t>
      </w:r>
      <w:r w:rsidR="007739F9">
        <w:t xml:space="preserve"> </w:t>
      </w:r>
      <w:r>
        <w:t>within the 2003 Act:</w:t>
      </w:r>
      <w:r w:rsidR="007739F9">
        <w:t xml:space="preserve"> </w:t>
      </w:r>
    </w:p>
    <w:p w14:paraId="2CE914EB" w14:textId="382E063A" w:rsidR="00D43FF3" w:rsidRDefault="005C084B" w:rsidP="00D70313">
      <w:pPr>
        <w:pStyle w:val="Bulletpoints"/>
      </w:pPr>
      <w:r>
        <w:t xml:space="preserve">Part </w:t>
      </w:r>
      <w:r w:rsidR="00467575">
        <w:t>5</w:t>
      </w:r>
      <w:r w:rsidR="00903B86">
        <w:t>:</w:t>
      </w:r>
      <w:r w:rsidR="00467575">
        <w:t xml:space="preserve"> ‘</w:t>
      </w:r>
      <w:r w:rsidR="00D43FF3">
        <w:t>Emergency detention certificate</w:t>
      </w:r>
      <w:r w:rsidR="00467575">
        <w:t>’</w:t>
      </w:r>
      <w:r w:rsidR="00D43FF3">
        <w:t xml:space="preserve"> – </w:t>
      </w:r>
      <w:r w:rsidR="00A85DF6">
        <w:t>can</w:t>
      </w:r>
      <w:r>
        <w:t xml:space="preserve"> </w:t>
      </w:r>
      <w:r w:rsidR="00D43FF3">
        <w:t xml:space="preserve">last for up to </w:t>
      </w:r>
      <w:r w:rsidR="005A3BF3">
        <w:t>3</w:t>
      </w:r>
      <w:r w:rsidR="00D43FF3">
        <w:t xml:space="preserve"> days</w:t>
      </w:r>
    </w:p>
    <w:p w14:paraId="04D436F1" w14:textId="6899B5E5" w:rsidR="00D43FF3" w:rsidRDefault="00616F43" w:rsidP="00D70313">
      <w:pPr>
        <w:pStyle w:val="Bulletpoints"/>
      </w:pPr>
      <w:r>
        <w:t>Part</w:t>
      </w:r>
      <w:r w:rsidR="00467575">
        <w:t xml:space="preserve"> 6</w:t>
      </w:r>
      <w:r w:rsidR="00903B86">
        <w:t>:</w:t>
      </w:r>
      <w:r>
        <w:t xml:space="preserve"> </w:t>
      </w:r>
      <w:r w:rsidR="00467575">
        <w:t>‘</w:t>
      </w:r>
      <w:r w:rsidR="00D43FF3">
        <w:t>Short-term detention</w:t>
      </w:r>
      <w:r w:rsidR="00467575">
        <w:t>’</w:t>
      </w:r>
      <w:r w:rsidR="00D43FF3">
        <w:t xml:space="preserve"> –</w:t>
      </w:r>
      <w:r w:rsidR="00A85DF6">
        <w:t xml:space="preserve"> can last</w:t>
      </w:r>
      <w:r w:rsidR="00D43FF3">
        <w:t xml:space="preserve"> for up to 28 days </w:t>
      </w:r>
    </w:p>
    <w:p w14:paraId="5C4C7E89" w14:textId="3C3C4800" w:rsidR="00D43FF3" w:rsidRPr="00A85DF6" w:rsidRDefault="00616F43" w:rsidP="00D70313">
      <w:pPr>
        <w:pStyle w:val="bulletsafter18"/>
      </w:pPr>
      <w:r w:rsidRPr="00A85DF6">
        <w:t xml:space="preserve">Part </w:t>
      </w:r>
      <w:r w:rsidR="00467575" w:rsidRPr="00A85DF6">
        <w:t>7</w:t>
      </w:r>
      <w:r w:rsidR="00903B86" w:rsidRPr="00A85DF6">
        <w:t>:</w:t>
      </w:r>
      <w:r w:rsidR="00467575" w:rsidRPr="00A85DF6">
        <w:t xml:space="preserve"> ‘</w:t>
      </w:r>
      <w:r w:rsidR="00D43FF3" w:rsidRPr="00A85DF6">
        <w:t>Compulsory treatment order</w:t>
      </w:r>
      <w:r w:rsidR="00467575" w:rsidRPr="00A85DF6">
        <w:t>’</w:t>
      </w:r>
      <w:r w:rsidR="009D4B88">
        <w:t xml:space="preserve"> (CTO)</w:t>
      </w:r>
      <w:r w:rsidR="00D43FF3" w:rsidRPr="00A85DF6">
        <w:t xml:space="preserve"> – </w:t>
      </w:r>
      <w:r w:rsidR="00A85DF6" w:rsidRPr="00A85DF6">
        <w:rPr>
          <w:shd w:val="clear" w:color="auto" w:fill="FFFFFF"/>
        </w:rPr>
        <w:t xml:space="preserve">can last up to </w:t>
      </w:r>
      <w:r w:rsidR="004207B6">
        <w:rPr>
          <w:shd w:val="clear" w:color="auto" w:fill="FFFFFF"/>
        </w:rPr>
        <w:t>6</w:t>
      </w:r>
      <w:r w:rsidR="00A85DF6" w:rsidRPr="00A85DF6">
        <w:rPr>
          <w:shd w:val="clear" w:color="auto" w:fill="FFFFFF"/>
        </w:rPr>
        <w:t xml:space="preserve"> months. It can be extended for a further </w:t>
      </w:r>
      <w:r w:rsidR="004207B6">
        <w:rPr>
          <w:shd w:val="clear" w:color="auto" w:fill="FFFFFF"/>
        </w:rPr>
        <w:t>6</w:t>
      </w:r>
      <w:r w:rsidR="00A85DF6" w:rsidRPr="00A85DF6">
        <w:rPr>
          <w:shd w:val="clear" w:color="auto" w:fill="FFFFFF"/>
        </w:rPr>
        <w:t xml:space="preserve"> months and then for periods of 12 months at a time. </w:t>
      </w:r>
      <w:r w:rsidR="004207B6">
        <w:rPr>
          <w:shd w:val="clear" w:color="auto" w:fill="FFFFFF"/>
        </w:rPr>
        <w:t xml:space="preserve">A tribunal must grant any extension. </w:t>
      </w:r>
    </w:p>
    <w:p w14:paraId="7D9F3671" w14:textId="00C546A7" w:rsidR="00D43FF3" w:rsidRDefault="00D43FF3" w:rsidP="00F63159">
      <w:pPr>
        <w:pStyle w:val="Normalnumbered"/>
      </w:pPr>
      <w:r>
        <w:t xml:space="preserve">The group agreed that either the short-term detention or the </w:t>
      </w:r>
      <w:r w:rsidR="009D4B88">
        <w:t>CTO</w:t>
      </w:r>
      <w:r>
        <w:t xml:space="preserve"> </w:t>
      </w:r>
      <w:r w:rsidR="00616F43">
        <w:t>would</w:t>
      </w:r>
      <w:r>
        <w:t xml:space="preserve"> be the </w:t>
      </w:r>
      <w:r w:rsidR="00616F43">
        <w:t xml:space="preserve">more appropriate eligibility </w:t>
      </w:r>
      <w:r>
        <w:t xml:space="preserve">criteria for a </w:t>
      </w:r>
      <w:r w:rsidR="00DF7BC5">
        <w:t xml:space="preserve">MHM </w:t>
      </w:r>
      <w:r w:rsidR="00616F43">
        <w:t>as the emergency detention only lasts for 3 days and tends to lead onto one of the other types of treatment</w:t>
      </w:r>
      <w:r>
        <w:t xml:space="preserve">. </w:t>
      </w:r>
    </w:p>
    <w:p w14:paraId="339423E2" w14:textId="13506853" w:rsidR="00A1434A" w:rsidRPr="007C2A94" w:rsidRDefault="00664A86" w:rsidP="00F63159">
      <w:pPr>
        <w:pStyle w:val="Normalnumbered"/>
      </w:pPr>
      <w:r w:rsidRPr="007C2A94">
        <w:t>It was</w:t>
      </w:r>
      <w:r w:rsidR="00610094" w:rsidRPr="007C2A94">
        <w:t xml:space="preserve"> also</w:t>
      </w:r>
      <w:r w:rsidRPr="007C2A94">
        <w:t xml:space="preserve"> highlighted </w:t>
      </w:r>
      <w:r w:rsidR="00BD2F8D" w:rsidRPr="007C2A94">
        <w:t xml:space="preserve">by the group </w:t>
      </w:r>
      <w:r w:rsidRPr="007C2A94">
        <w:t xml:space="preserve">that </w:t>
      </w:r>
      <w:r w:rsidR="00FA2D1C" w:rsidRPr="007C2A94">
        <w:t xml:space="preserve">there are </w:t>
      </w:r>
      <w:r w:rsidR="007020DE" w:rsidRPr="007C2A94">
        <w:t>treatments with</w:t>
      </w:r>
      <w:r w:rsidR="00FA2D1C" w:rsidRPr="007C2A94">
        <w:t xml:space="preserve"> </w:t>
      </w:r>
      <w:r w:rsidR="00112F54" w:rsidRPr="007C2A94">
        <w:t xml:space="preserve">similar </w:t>
      </w:r>
      <w:r w:rsidR="00330481" w:rsidRPr="007C2A94">
        <w:t>c</w:t>
      </w:r>
      <w:r w:rsidR="004A71DA" w:rsidRPr="007C2A94">
        <w:t>ompulsory</w:t>
      </w:r>
      <w:r w:rsidR="007020DE" w:rsidRPr="007C2A94">
        <w:t xml:space="preserve"> aspects </w:t>
      </w:r>
      <w:r w:rsidR="00112F54" w:rsidRPr="007C2A94">
        <w:t xml:space="preserve">under </w:t>
      </w:r>
      <w:r w:rsidR="00E6744C" w:rsidRPr="007C2A94">
        <w:t>the Criminal Procedure (Scotland) Act 1995 (“the 1995 Act”) which</w:t>
      </w:r>
      <w:r w:rsidR="00112F54" w:rsidRPr="007C2A94">
        <w:t xml:space="preserve"> </w:t>
      </w:r>
      <w:r w:rsidR="001D0502" w:rsidRPr="007C2A94">
        <w:t xml:space="preserve">should be considered as providing eligibility for </w:t>
      </w:r>
      <w:r w:rsidR="00C302FE" w:rsidRPr="007C2A94">
        <w:t xml:space="preserve">a MHM application. These would be </w:t>
      </w:r>
      <w:r w:rsidR="00E6744C" w:rsidRPr="007C2A94">
        <w:t>defined</w:t>
      </w:r>
      <w:r w:rsidR="00C302FE" w:rsidRPr="007C2A94">
        <w:t xml:space="preserve"> as forensic </w:t>
      </w:r>
      <w:r w:rsidR="00257FBD" w:rsidRPr="007C2A94">
        <w:t xml:space="preserve">patients </w:t>
      </w:r>
      <w:r w:rsidR="00DE4C1D" w:rsidRPr="007C2A94">
        <w:t xml:space="preserve">rather than the civil patients </w:t>
      </w:r>
      <w:r w:rsidR="00841A92">
        <w:t xml:space="preserve">whose orders are </w:t>
      </w:r>
      <w:r w:rsidR="00DE4C1D" w:rsidRPr="007C2A94">
        <w:t>listed under paragraph 20</w:t>
      </w:r>
      <w:r w:rsidR="00841A92">
        <w:t xml:space="preserve"> of this report</w:t>
      </w:r>
      <w:r w:rsidR="00DE4C1D" w:rsidRPr="007C2A94">
        <w:t xml:space="preserve">. </w:t>
      </w:r>
    </w:p>
    <w:p w14:paraId="52952B4E" w14:textId="4A0B332F" w:rsidR="00DE4C1D" w:rsidRPr="007C2A94" w:rsidRDefault="00DE4C1D" w:rsidP="00F63159">
      <w:pPr>
        <w:pStyle w:val="Normalnumbered"/>
      </w:pPr>
      <w:r w:rsidRPr="007C2A94">
        <w:lastRenderedPageBreak/>
        <w:t xml:space="preserve">The treatments (with compulsory aspects) within the </w:t>
      </w:r>
      <w:r w:rsidR="00494CFA" w:rsidRPr="007C2A94">
        <w:t>1995</w:t>
      </w:r>
      <w:r w:rsidRPr="007C2A94">
        <w:t xml:space="preserve"> Act</w:t>
      </w:r>
      <w:r w:rsidR="00494CFA" w:rsidRPr="007C2A94">
        <w:t xml:space="preserve"> considered </w:t>
      </w:r>
      <w:r w:rsidR="007E612E" w:rsidRPr="007C2A94">
        <w:t>we</w:t>
      </w:r>
      <w:r w:rsidR="00494CFA" w:rsidRPr="007C2A94">
        <w:t>r</w:t>
      </w:r>
      <w:r w:rsidR="00095FA0" w:rsidRPr="007C2A94">
        <w:t>e</w:t>
      </w:r>
      <w:r w:rsidRPr="007C2A94">
        <w:t xml:space="preserve">: </w:t>
      </w:r>
    </w:p>
    <w:p w14:paraId="5B4C805D" w14:textId="6ED483E2" w:rsidR="00E83337" w:rsidRPr="007C2A94" w:rsidRDefault="00E83337" w:rsidP="00D70313">
      <w:pPr>
        <w:pStyle w:val="Bulletpoints"/>
      </w:pPr>
      <w:r w:rsidRPr="007C2A94">
        <w:t>Section 52D</w:t>
      </w:r>
      <w:r w:rsidR="005711C5" w:rsidRPr="007C2A94">
        <w:t xml:space="preserve"> </w:t>
      </w:r>
      <w:r w:rsidRPr="007C2A94">
        <w:t>– Assessment Order</w:t>
      </w:r>
    </w:p>
    <w:p w14:paraId="20E543DB" w14:textId="3625D30D" w:rsidR="00E83337" w:rsidRPr="007C2A94" w:rsidRDefault="00E83337" w:rsidP="00D70313">
      <w:pPr>
        <w:pStyle w:val="Bulletpoints"/>
      </w:pPr>
      <w:r w:rsidRPr="007C2A94">
        <w:t>Section 52M</w:t>
      </w:r>
      <w:r w:rsidR="005711C5" w:rsidRPr="007C2A94">
        <w:t xml:space="preserve"> </w:t>
      </w:r>
      <w:r w:rsidRPr="007C2A94">
        <w:t>– Treatment Order</w:t>
      </w:r>
    </w:p>
    <w:p w14:paraId="1668FAC2" w14:textId="16139239" w:rsidR="00E83337" w:rsidRPr="007C2A94" w:rsidRDefault="00E83337" w:rsidP="00D70313">
      <w:pPr>
        <w:pStyle w:val="Bulletpoints"/>
      </w:pPr>
      <w:r w:rsidRPr="007C2A94">
        <w:t>Section 53</w:t>
      </w:r>
      <w:r w:rsidR="005711C5" w:rsidRPr="007C2A94">
        <w:t xml:space="preserve"> </w:t>
      </w:r>
      <w:r w:rsidRPr="007C2A94">
        <w:t>– Interim Compulsion Order</w:t>
      </w:r>
    </w:p>
    <w:p w14:paraId="5468A1EB" w14:textId="5A39A5F9" w:rsidR="00E83337" w:rsidRPr="007C2A94" w:rsidRDefault="00E83337" w:rsidP="00D70313">
      <w:pPr>
        <w:pStyle w:val="Bulletpoints"/>
      </w:pPr>
      <w:r w:rsidRPr="007C2A94">
        <w:t>Section 57A</w:t>
      </w:r>
      <w:r w:rsidR="005711C5" w:rsidRPr="007C2A94">
        <w:t xml:space="preserve"> </w:t>
      </w:r>
      <w:r w:rsidRPr="007C2A94">
        <w:t>– Compulsion Order</w:t>
      </w:r>
    </w:p>
    <w:p w14:paraId="2CAFF873" w14:textId="1ED780DB" w:rsidR="007E3411" w:rsidRPr="007C2A94" w:rsidRDefault="00E83337" w:rsidP="00D70313">
      <w:pPr>
        <w:pStyle w:val="bulletsafter18"/>
      </w:pPr>
      <w:r w:rsidRPr="007C2A94">
        <w:t>Section 59A</w:t>
      </w:r>
      <w:r w:rsidR="005711C5" w:rsidRPr="007C2A94">
        <w:t xml:space="preserve"> </w:t>
      </w:r>
      <w:r w:rsidRPr="007C2A94">
        <w:t>– Hospital direction</w:t>
      </w:r>
    </w:p>
    <w:p w14:paraId="0E069770" w14:textId="1F2F316F" w:rsidR="00F8612B" w:rsidRPr="007C2A94" w:rsidRDefault="0015205A" w:rsidP="00F63159">
      <w:pPr>
        <w:pStyle w:val="Normalnumbered"/>
      </w:pPr>
      <w:r w:rsidRPr="007C2A94">
        <w:rPr>
          <w:rStyle w:val="normaltextrun"/>
          <w:rFonts w:cs="Arial"/>
          <w:color w:val="000000"/>
          <w:shd w:val="clear" w:color="auto" w:fill="FFFFFF"/>
        </w:rPr>
        <w:t xml:space="preserve">In addition to </w:t>
      </w:r>
      <w:r w:rsidR="00F23FC6" w:rsidRPr="007C2A94">
        <w:rPr>
          <w:rStyle w:val="normaltextrun"/>
          <w:rFonts w:cs="Arial"/>
          <w:color w:val="000000"/>
          <w:shd w:val="clear" w:color="auto" w:fill="FFFFFF"/>
        </w:rPr>
        <w:t>the civil and forensic patients who fall under the 1995</w:t>
      </w:r>
      <w:r w:rsidR="00DF7BC5" w:rsidRPr="007C2A94">
        <w:rPr>
          <w:rStyle w:val="normaltextrun"/>
          <w:rFonts w:cs="Arial"/>
          <w:color w:val="000000"/>
          <w:shd w:val="clear" w:color="auto" w:fill="FFFFFF"/>
        </w:rPr>
        <w:t xml:space="preserve"> Act</w:t>
      </w:r>
      <w:r w:rsidR="00F23FC6" w:rsidRPr="007C2A94">
        <w:rPr>
          <w:rStyle w:val="normaltextrun"/>
          <w:rFonts w:cs="Arial"/>
          <w:color w:val="000000"/>
          <w:shd w:val="clear" w:color="auto" w:fill="FFFFFF"/>
        </w:rPr>
        <w:t xml:space="preserve"> and </w:t>
      </w:r>
      <w:r w:rsidR="00DF7BC5" w:rsidRPr="007C2A94">
        <w:rPr>
          <w:rStyle w:val="normaltextrun"/>
          <w:rFonts w:cs="Arial"/>
          <w:color w:val="000000"/>
          <w:shd w:val="clear" w:color="auto" w:fill="FFFFFF"/>
        </w:rPr>
        <w:t xml:space="preserve">the </w:t>
      </w:r>
      <w:r w:rsidR="00F23FC6" w:rsidRPr="007C2A94">
        <w:rPr>
          <w:rStyle w:val="normaltextrun"/>
          <w:rFonts w:cs="Arial"/>
          <w:color w:val="000000"/>
          <w:shd w:val="clear" w:color="auto" w:fill="FFFFFF"/>
        </w:rPr>
        <w:t xml:space="preserve">2003 Act, </w:t>
      </w:r>
      <w:r w:rsidR="00053363" w:rsidRPr="007C2A94">
        <w:rPr>
          <w:rStyle w:val="normaltextrun"/>
          <w:rFonts w:cs="Arial"/>
          <w:color w:val="000000"/>
          <w:shd w:val="clear" w:color="auto" w:fill="FFFFFF"/>
        </w:rPr>
        <w:t>the group</w:t>
      </w:r>
      <w:r w:rsidR="00F8612B" w:rsidRPr="007C2A94">
        <w:rPr>
          <w:rStyle w:val="normaltextrun"/>
          <w:rFonts w:cs="Arial"/>
          <w:color w:val="000000"/>
          <w:shd w:val="clear" w:color="auto" w:fill="FFFFFF"/>
        </w:rPr>
        <w:t xml:space="preserve"> consider</w:t>
      </w:r>
      <w:r w:rsidR="00053363" w:rsidRPr="007C2A94">
        <w:rPr>
          <w:rStyle w:val="normaltextrun"/>
          <w:rFonts w:cs="Arial"/>
          <w:color w:val="000000"/>
          <w:shd w:val="clear" w:color="auto" w:fill="FFFFFF"/>
        </w:rPr>
        <w:t>ed</w:t>
      </w:r>
      <w:r w:rsidR="00F8612B" w:rsidRPr="007C2A94">
        <w:rPr>
          <w:rStyle w:val="normaltextrun"/>
          <w:rFonts w:cs="Arial"/>
          <w:color w:val="000000"/>
          <w:shd w:val="clear" w:color="auto" w:fill="FFFFFF"/>
        </w:rPr>
        <w:t xml:space="preserve"> whether individuals who experience severe mental health crisis but receive in-patient care and treatment on a voluntary basis, should also be included in the eligibility criteria. </w:t>
      </w:r>
      <w:r w:rsidR="00053363" w:rsidRPr="007C2A94">
        <w:rPr>
          <w:rStyle w:val="normaltextrun"/>
          <w:rFonts w:cs="Arial"/>
          <w:color w:val="000000"/>
          <w:shd w:val="clear" w:color="auto" w:fill="FFFFFF"/>
        </w:rPr>
        <w:t>After further</w:t>
      </w:r>
      <w:r w:rsidR="00F8612B" w:rsidRPr="007C2A94">
        <w:rPr>
          <w:rStyle w:val="normaltextrun"/>
          <w:rFonts w:cs="Arial"/>
          <w:color w:val="000000"/>
          <w:shd w:val="clear" w:color="auto" w:fill="FFFFFF"/>
        </w:rPr>
        <w:t xml:space="preserve"> discuss</w:t>
      </w:r>
      <w:r w:rsidR="00EC7A61" w:rsidRPr="007C2A94">
        <w:rPr>
          <w:rStyle w:val="normaltextrun"/>
          <w:rFonts w:cs="Arial"/>
          <w:color w:val="000000"/>
          <w:shd w:val="clear" w:color="auto" w:fill="FFFFFF"/>
        </w:rPr>
        <w:t>ion</w:t>
      </w:r>
      <w:r w:rsidR="00DF7BC5" w:rsidRPr="007C2A94">
        <w:rPr>
          <w:rStyle w:val="normaltextrun"/>
          <w:rFonts w:cs="Arial"/>
          <w:color w:val="000000"/>
          <w:shd w:val="clear" w:color="auto" w:fill="FFFFFF"/>
        </w:rPr>
        <w:t>,</w:t>
      </w:r>
      <w:r w:rsidR="00EC7A61" w:rsidRPr="007C2A94">
        <w:rPr>
          <w:rStyle w:val="normaltextrun"/>
          <w:rFonts w:cs="Arial"/>
          <w:color w:val="000000"/>
          <w:shd w:val="clear" w:color="auto" w:fill="FFFFFF"/>
        </w:rPr>
        <w:t xml:space="preserve"> the group</w:t>
      </w:r>
      <w:r w:rsidR="00F8612B" w:rsidRPr="007C2A94">
        <w:rPr>
          <w:rStyle w:val="normaltextrun"/>
          <w:rFonts w:cs="Arial"/>
          <w:color w:val="000000"/>
          <w:shd w:val="clear" w:color="auto" w:fill="FFFFFF"/>
        </w:rPr>
        <w:t xml:space="preserve"> agreed that this would be difficult to manage. There are too many variables to apply every eventuality and there </w:t>
      </w:r>
      <w:r w:rsidR="00EC7A61" w:rsidRPr="007C2A94">
        <w:rPr>
          <w:rStyle w:val="normaltextrun"/>
          <w:rFonts w:cs="Arial"/>
          <w:color w:val="000000"/>
          <w:shd w:val="clear" w:color="auto" w:fill="FFFFFF"/>
        </w:rPr>
        <w:t>wa</w:t>
      </w:r>
      <w:r w:rsidR="00F8612B" w:rsidRPr="007C2A94">
        <w:rPr>
          <w:rStyle w:val="normaltextrun"/>
          <w:rFonts w:cs="Arial"/>
          <w:color w:val="000000"/>
          <w:shd w:val="clear" w:color="auto" w:fill="FFFFFF"/>
        </w:rPr>
        <w:t xml:space="preserve">s concern that </w:t>
      </w:r>
      <w:r w:rsidR="00EC7A61" w:rsidRPr="007C2A94">
        <w:rPr>
          <w:rStyle w:val="normaltextrun"/>
          <w:rFonts w:cs="Arial"/>
          <w:color w:val="000000"/>
          <w:shd w:val="clear" w:color="auto" w:fill="FFFFFF"/>
        </w:rPr>
        <w:t>having</w:t>
      </w:r>
      <w:r w:rsidR="00F8612B" w:rsidRPr="007C2A94">
        <w:rPr>
          <w:rStyle w:val="normaltextrun"/>
          <w:rFonts w:cs="Arial"/>
          <w:color w:val="000000"/>
          <w:shd w:val="clear" w:color="auto" w:fill="FFFFFF"/>
        </w:rPr>
        <w:t xml:space="preserve"> the criteria too </w:t>
      </w:r>
      <w:r w:rsidR="00EC7A61" w:rsidRPr="007C2A94">
        <w:rPr>
          <w:rStyle w:val="normaltextrun"/>
          <w:rFonts w:cs="Arial"/>
          <w:color w:val="000000"/>
          <w:shd w:val="clear" w:color="auto" w:fill="FFFFFF"/>
        </w:rPr>
        <w:t>open in this way c</w:t>
      </w:r>
      <w:r w:rsidR="00F8612B" w:rsidRPr="007C2A94">
        <w:rPr>
          <w:rStyle w:val="normaltextrun"/>
          <w:rFonts w:cs="Arial"/>
          <w:color w:val="000000"/>
          <w:shd w:val="clear" w:color="auto" w:fill="FFFFFF"/>
        </w:rPr>
        <w:t>ould have unintended consequences. The</w:t>
      </w:r>
      <w:r w:rsidR="005A59B2" w:rsidRPr="007C2A94">
        <w:rPr>
          <w:rStyle w:val="normaltextrun"/>
          <w:rFonts w:cs="Arial"/>
          <w:color w:val="000000"/>
          <w:shd w:val="clear" w:color="auto" w:fill="FFFFFF"/>
        </w:rPr>
        <w:t>refore,</w:t>
      </w:r>
      <w:r w:rsidR="00F8612B" w:rsidRPr="007C2A94">
        <w:rPr>
          <w:rStyle w:val="normaltextrun"/>
          <w:rFonts w:cs="Arial"/>
          <w:color w:val="000000"/>
          <w:shd w:val="clear" w:color="auto" w:fill="FFFFFF"/>
        </w:rPr>
        <w:t xml:space="preserve"> </w:t>
      </w:r>
      <w:r w:rsidR="005A59B2" w:rsidRPr="007C2A94">
        <w:rPr>
          <w:rStyle w:val="normaltextrun"/>
          <w:rFonts w:cs="Arial"/>
          <w:color w:val="000000"/>
          <w:shd w:val="clear" w:color="auto" w:fill="FFFFFF"/>
        </w:rPr>
        <w:t>there was</w:t>
      </w:r>
      <w:r w:rsidR="00F8612B" w:rsidRPr="007C2A94">
        <w:rPr>
          <w:rStyle w:val="normaltextrun"/>
          <w:rFonts w:cs="Arial"/>
          <w:color w:val="000000"/>
          <w:shd w:val="clear" w:color="auto" w:fill="FFFFFF"/>
        </w:rPr>
        <w:t xml:space="preserve"> agree</w:t>
      </w:r>
      <w:r w:rsidR="005A59B2" w:rsidRPr="007C2A94">
        <w:rPr>
          <w:rStyle w:val="normaltextrun"/>
          <w:rFonts w:cs="Arial"/>
          <w:color w:val="000000"/>
          <w:shd w:val="clear" w:color="auto" w:fill="FFFFFF"/>
        </w:rPr>
        <w:t>ment</w:t>
      </w:r>
      <w:r w:rsidR="00F8612B" w:rsidRPr="007C2A94">
        <w:rPr>
          <w:rStyle w:val="normaltextrun"/>
          <w:rFonts w:cs="Arial"/>
          <w:color w:val="000000"/>
          <w:shd w:val="clear" w:color="auto" w:fill="FFFFFF"/>
        </w:rPr>
        <w:t xml:space="preserve"> that voluntary in-patients should not be included in the eligibility criteria</w:t>
      </w:r>
      <w:r w:rsidR="005A59B2" w:rsidRPr="007C2A94">
        <w:rPr>
          <w:rStyle w:val="normaltextrun"/>
          <w:rFonts w:cs="Arial"/>
          <w:color w:val="000000"/>
          <w:shd w:val="clear" w:color="auto" w:fill="FFFFFF"/>
        </w:rPr>
        <w:t xml:space="preserve"> at this time</w:t>
      </w:r>
      <w:r w:rsidR="00F8612B" w:rsidRPr="007C2A94">
        <w:rPr>
          <w:rStyle w:val="normaltextrun"/>
          <w:rFonts w:cs="Arial"/>
          <w:color w:val="000000"/>
          <w:shd w:val="clear" w:color="auto" w:fill="FFFFFF"/>
        </w:rPr>
        <w:t>, but this c</w:t>
      </w:r>
      <w:r w:rsidR="005A59B2" w:rsidRPr="007C2A94">
        <w:rPr>
          <w:rStyle w:val="normaltextrun"/>
          <w:rFonts w:cs="Arial"/>
          <w:color w:val="000000"/>
          <w:shd w:val="clear" w:color="auto" w:fill="FFFFFF"/>
        </w:rPr>
        <w:t>ould</w:t>
      </w:r>
      <w:r w:rsidR="00F8612B" w:rsidRPr="007C2A94">
        <w:rPr>
          <w:rStyle w:val="normaltextrun"/>
          <w:rFonts w:cs="Arial"/>
          <w:color w:val="000000"/>
          <w:shd w:val="clear" w:color="auto" w:fill="FFFFFF"/>
        </w:rPr>
        <w:t xml:space="preserve"> be reviewed once the </w:t>
      </w:r>
      <w:r w:rsidR="00DF7BC5" w:rsidRPr="007C2A94">
        <w:rPr>
          <w:rStyle w:val="normaltextrun"/>
          <w:rFonts w:cs="Arial"/>
          <w:color w:val="000000"/>
          <w:shd w:val="clear" w:color="auto" w:fill="FFFFFF"/>
        </w:rPr>
        <w:t xml:space="preserve">MHM </w:t>
      </w:r>
      <w:r w:rsidR="00F8612B" w:rsidRPr="007C2A94">
        <w:rPr>
          <w:rStyle w:val="normaltextrun"/>
          <w:rFonts w:cs="Arial"/>
          <w:color w:val="000000"/>
          <w:shd w:val="clear" w:color="auto" w:fill="FFFFFF"/>
        </w:rPr>
        <w:t>has been introduced and a reasonable period of time has lapsed to assess if changes are required.</w:t>
      </w:r>
    </w:p>
    <w:p w14:paraId="5998FE93" w14:textId="37DC3F02" w:rsidR="006C5E2C" w:rsidRPr="007C2A94" w:rsidRDefault="006C5E2C" w:rsidP="00F63159">
      <w:pPr>
        <w:pStyle w:val="Normalnumbered"/>
      </w:pPr>
      <w:r w:rsidRPr="007C2A94">
        <w:t xml:space="preserve">In addition to considering the mental health criteria </w:t>
      </w:r>
      <w:r w:rsidR="007872A0" w:rsidRPr="007C2A94">
        <w:t xml:space="preserve">for a </w:t>
      </w:r>
      <w:r w:rsidR="00567C22" w:rsidRPr="007C2A94">
        <w:t>MHM</w:t>
      </w:r>
      <w:r w:rsidR="008B1FB4" w:rsidRPr="007C2A94">
        <w:t>,</w:t>
      </w:r>
      <w:r w:rsidR="007872A0" w:rsidRPr="007C2A94">
        <w:t xml:space="preserve"> the group also considered the debt criteria aspect. </w:t>
      </w:r>
      <w:r w:rsidR="00F64BD4" w:rsidRPr="007C2A94">
        <w:t>After a discussion on the matter, t</w:t>
      </w:r>
      <w:r w:rsidR="00F31183" w:rsidRPr="007C2A94">
        <w:t>he group did not believe a set figure should be fixed</w:t>
      </w:r>
      <w:r w:rsidR="004A68E4" w:rsidRPr="007C2A94">
        <w:t xml:space="preserve"> which would require to be met in order for the individual to apply for the moratorium. </w:t>
      </w:r>
      <w:r w:rsidR="00A972DB" w:rsidRPr="007C2A94">
        <w:t>Instead</w:t>
      </w:r>
      <w:r w:rsidR="00DF7BC5" w:rsidRPr="007C2A94">
        <w:t>,</w:t>
      </w:r>
      <w:r w:rsidR="00A972DB" w:rsidRPr="007C2A94">
        <w:t xml:space="preserve"> the group believed the approach adopted for the MHC</w:t>
      </w:r>
      <w:r w:rsidR="00DF7BC5" w:rsidRPr="007C2A94">
        <w:t>B</w:t>
      </w:r>
      <w:r w:rsidR="00A972DB" w:rsidRPr="007C2A94">
        <w:t>S seemed sensible which would be a statement from the adviser confirming ‘</w:t>
      </w:r>
      <w:r w:rsidR="00A972DB" w:rsidRPr="007C2A94">
        <w:rPr>
          <w:rStyle w:val="cf01"/>
          <w:rFonts w:ascii="Arial" w:hAnsi="Arial" w:cs="Arial"/>
          <w:sz w:val="24"/>
          <w:szCs w:val="24"/>
        </w:rPr>
        <w:t>the applicant is unable, or is unlikely to be able, to repay some or all of their debt as it falls due.’</w:t>
      </w:r>
      <w:r w:rsidR="00F31183" w:rsidRPr="007C2A94">
        <w:t xml:space="preserve"> </w:t>
      </w:r>
      <w:r w:rsidR="0028767E" w:rsidRPr="008C43DE">
        <w:t xml:space="preserve">While the group </w:t>
      </w:r>
      <w:r w:rsidR="006E5051" w:rsidRPr="008C43DE">
        <w:t>did not believe a set figure of debt was required for the eligibility criteria</w:t>
      </w:r>
      <w:r w:rsidR="00FB65C2">
        <w:t>,</w:t>
      </w:r>
      <w:r w:rsidR="006E5051" w:rsidRPr="008C43DE">
        <w:t xml:space="preserve"> they did believe the type of debt should align to the debts which qualify for a standard moratorium’s protection.</w:t>
      </w:r>
    </w:p>
    <w:p w14:paraId="3A843F12" w14:textId="7782AB14" w:rsidR="00ED6E38" w:rsidRDefault="00A1434A" w:rsidP="00F63159">
      <w:pPr>
        <w:pStyle w:val="Normalnumbered"/>
      </w:pPr>
      <w:r>
        <w:t>The group considered the practical steps in applying for a</w:t>
      </w:r>
      <w:r w:rsidR="00DF7BC5">
        <w:t xml:space="preserve"> MHM</w:t>
      </w:r>
      <w:r w:rsidR="001855EB">
        <w:t xml:space="preserve">. </w:t>
      </w:r>
      <w:r w:rsidR="006263FC">
        <w:t xml:space="preserve">They believe that it should be the responsibility of a mental health professional to sign a statutory </w:t>
      </w:r>
      <w:r w:rsidR="006263FC">
        <w:lastRenderedPageBreak/>
        <w:t xml:space="preserve">form which confirms the individual meets the </w:t>
      </w:r>
      <w:r w:rsidR="001C4D75">
        <w:t xml:space="preserve">criteria for the </w:t>
      </w:r>
      <w:r w:rsidR="00DF7BC5">
        <w:t>MHM</w:t>
      </w:r>
      <w:r w:rsidR="001C4D75">
        <w:t xml:space="preserve"> – i.e. they are receiving </w:t>
      </w:r>
      <w:r w:rsidR="009F0C99">
        <w:t xml:space="preserve">one of the listed </w:t>
      </w:r>
      <w:r w:rsidR="001C4D75">
        <w:t xml:space="preserve">treatments. </w:t>
      </w:r>
    </w:p>
    <w:p w14:paraId="71416206" w14:textId="1548629C" w:rsidR="00ED6E38" w:rsidRPr="00ED1EA1" w:rsidRDefault="00ED6E38" w:rsidP="00F63159">
      <w:pPr>
        <w:pStyle w:val="Normalnumbered"/>
      </w:pPr>
      <w:r w:rsidRPr="00ED1EA1">
        <w:rPr>
          <w:rStyle w:val="cf01"/>
          <w:rFonts w:ascii="Arial" w:hAnsi="Arial" w:cs="Arial"/>
          <w:sz w:val="24"/>
          <w:szCs w:val="24"/>
        </w:rPr>
        <w:t xml:space="preserve">In considering the content of the statutory form, the group believe it should not be overly complicated and mirror the content of an established form such as the Debt and Mental Health Evidence Form or the Debt Respite Scheme form. The Debt and Mental Health Evidence Form is already in circulation in Scotland and widely used by advisors, however, concerns were raised regarding the fee which is sometimes charge for signing this </w:t>
      </w:r>
      <w:r w:rsidR="008B27C1" w:rsidRPr="00ED1EA1">
        <w:rPr>
          <w:rStyle w:val="cf01"/>
          <w:rFonts w:ascii="Arial" w:hAnsi="Arial" w:cs="Arial"/>
          <w:sz w:val="24"/>
          <w:szCs w:val="24"/>
        </w:rPr>
        <w:t>specific</w:t>
      </w:r>
      <w:r w:rsidRPr="00ED1EA1">
        <w:rPr>
          <w:rStyle w:val="cf01"/>
          <w:rFonts w:ascii="Arial" w:hAnsi="Arial" w:cs="Arial"/>
          <w:sz w:val="24"/>
          <w:szCs w:val="24"/>
        </w:rPr>
        <w:t xml:space="preserve"> form. The group believe if </w:t>
      </w:r>
      <w:r w:rsidR="004042EE" w:rsidRPr="00ED1EA1">
        <w:rPr>
          <w:rStyle w:val="cf01"/>
          <w:rFonts w:ascii="Arial" w:hAnsi="Arial" w:cs="Arial"/>
          <w:sz w:val="24"/>
          <w:szCs w:val="24"/>
        </w:rPr>
        <w:t>the Debt and Mental Health Evidence Form</w:t>
      </w:r>
      <w:r w:rsidRPr="00ED1EA1">
        <w:rPr>
          <w:rStyle w:val="cf01"/>
          <w:rFonts w:ascii="Arial" w:hAnsi="Arial" w:cs="Arial"/>
          <w:sz w:val="24"/>
          <w:szCs w:val="24"/>
        </w:rPr>
        <w:t xml:space="preserve"> is not used a</w:t>
      </w:r>
      <w:r w:rsidR="00C7323D" w:rsidRPr="00ED1EA1">
        <w:rPr>
          <w:rStyle w:val="cf01"/>
          <w:rFonts w:ascii="Arial" w:hAnsi="Arial" w:cs="Arial"/>
          <w:sz w:val="24"/>
          <w:szCs w:val="24"/>
        </w:rPr>
        <w:t>s the</w:t>
      </w:r>
      <w:r w:rsidRPr="00ED1EA1">
        <w:rPr>
          <w:rStyle w:val="cf01"/>
          <w:rFonts w:ascii="Arial" w:hAnsi="Arial" w:cs="Arial"/>
          <w:sz w:val="24"/>
          <w:szCs w:val="24"/>
        </w:rPr>
        <w:t xml:space="preserve"> statutory form for the M</w:t>
      </w:r>
      <w:r w:rsidR="00DF7BC5">
        <w:rPr>
          <w:rStyle w:val="cf01"/>
          <w:rFonts w:ascii="Arial" w:hAnsi="Arial" w:cs="Arial"/>
          <w:sz w:val="24"/>
          <w:szCs w:val="24"/>
        </w:rPr>
        <w:t>HM</w:t>
      </w:r>
      <w:r w:rsidRPr="00ED1EA1">
        <w:rPr>
          <w:rStyle w:val="cf01"/>
          <w:rFonts w:ascii="Arial" w:hAnsi="Arial" w:cs="Arial"/>
          <w:sz w:val="24"/>
          <w:szCs w:val="24"/>
        </w:rPr>
        <w:t xml:space="preserve"> </w:t>
      </w:r>
      <w:r w:rsidR="00C7323D" w:rsidRPr="00ED1EA1">
        <w:rPr>
          <w:rStyle w:val="cf01"/>
          <w:rFonts w:ascii="Arial" w:hAnsi="Arial" w:cs="Arial"/>
          <w:sz w:val="24"/>
          <w:szCs w:val="24"/>
        </w:rPr>
        <w:t xml:space="preserve">a </w:t>
      </w:r>
      <w:r w:rsidRPr="00ED1EA1">
        <w:rPr>
          <w:rStyle w:val="cf01"/>
          <w:rFonts w:ascii="Arial" w:hAnsi="Arial" w:cs="Arial"/>
          <w:sz w:val="24"/>
          <w:szCs w:val="24"/>
        </w:rPr>
        <w:t>similar format</w:t>
      </w:r>
      <w:r w:rsidR="00C7323D" w:rsidRPr="00ED1EA1">
        <w:rPr>
          <w:rStyle w:val="cf01"/>
          <w:rFonts w:ascii="Arial" w:hAnsi="Arial" w:cs="Arial"/>
          <w:sz w:val="24"/>
          <w:szCs w:val="24"/>
        </w:rPr>
        <w:t xml:space="preserve"> should be drafted</w:t>
      </w:r>
      <w:r w:rsidRPr="00ED1EA1">
        <w:rPr>
          <w:rStyle w:val="cf01"/>
          <w:rFonts w:ascii="Arial" w:hAnsi="Arial" w:cs="Arial"/>
          <w:sz w:val="24"/>
          <w:szCs w:val="24"/>
        </w:rPr>
        <w:t>.</w:t>
      </w:r>
    </w:p>
    <w:p w14:paraId="62812D6C" w14:textId="5ECC842B" w:rsidR="00C65A24" w:rsidRDefault="001855EB" w:rsidP="00F63159">
      <w:pPr>
        <w:pStyle w:val="Normalnumbered"/>
      </w:pPr>
      <w:r>
        <w:t>The</w:t>
      </w:r>
      <w:r w:rsidR="00696D31">
        <w:t xml:space="preserve"> group</w:t>
      </w:r>
      <w:r>
        <w:t xml:space="preserve"> understood that a Mental Health Officer </w:t>
      </w:r>
      <w:r w:rsidR="001C4D75">
        <w:t xml:space="preserve">(MHO) </w:t>
      </w:r>
      <w:r w:rsidR="004207B6">
        <w:t>is</w:t>
      </w:r>
      <w:r>
        <w:t xml:space="preserve"> assigned to every individual receiving treatment under the 2003 Act, however, the</w:t>
      </w:r>
      <w:r w:rsidR="00696D31">
        <w:t xml:space="preserve">y </w:t>
      </w:r>
      <w:r>
        <w:t>did not believe</w:t>
      </w:r>
      <w:r w:rsidR="001C4D75">
        <w:t xml:space="preserve"> the list of mental </w:t>
      </w:r>
      <w:r w:rsidR="00E376F1">
        <w:t xml:space="preserve">health </w:t>
      </w:r>
      <w:r w:rsidR="001C4D75">
        <w:t>professional</w:t>
      </w:r>
      <w:r w:rsidR="0047231F">
        <w:t>s</w:t>
      </w:r>
      <w:r w:rsidR="001C4D75">
        <w:t xml:space="preserve"> eligible </w:t>
      </w:r>
      <w:r w:rsidR="00696D31">
        <w:t xml:space="preserve">to sign the form </w:t>
      </w:r>
      <w:r w:rsidR="001C4D75">
        <w:t xml:space="preserve">should be restricted to an MHO. </w:t>
      </w:r>
      <w:r w:rsidR="00E376F1">
        <w:t>The</w:t>
      </w:r>
      <w:r w:rsidR="002674E6">
        <w:t xml:space="preserve"> group</w:t>
      </w:r>
      <w:r w:rsidR="00E376F1">
        <w:t xml:space="preserve"> believe other </w:t>
      </w:r>
      <w:r w:rsidR="00F86859">
        <w:t xml:space="preserve">registered </w:t>
      </w:r>
      <w:r w:rsidR="00E376F1">
        <w:t>mental health professional</w:t>
      </w:r>
      <w:r w:rsidR="002674E6">
        <w:t>s</w:t>
      </w:r>
      <w:r>
        <w:t xml:space="preserve"> </w:t>
      </w:r>
      <w:r w:rsidR="00E376F1">
        <w:t xml:space="preserve">involved in the treatment process would be acceptable </w:t>
      </w:r>
      <w:r w:rsidR="002674E6">
        <w:t xml:space="preserve">in confirming eligibility </w:t>
      </w:r>
      <w:r w:rsidR="00E376F1">
        <w:t>such as:</w:t>
      </w:r>
      <w:r w:rsidR="00954869">
        <w:t xml:space="preserve"> a Re</w:t>
      </w:r>
      <w:r w:rsidR="0CAC89A3">
        <w:t xml:space="preserve">sponsible Medical </w:t>
      </w:r>
      <w:r w:rsidR="00954869">
        <w:t>Officer (R</w:t>
      </w:r>
      <w:r w:rsidR="0EFBF5DF">
        <w:t>M</w:t>
      </w:r>
      <w:r w:rsidR="00954869">
        <w:t>O)</w:t>
      </w:r>
      <w:r w:rsidR="00023E68">
        <w:t xml:space="preserve"> and</w:t>
      </w:r>
      <w:r w:rsidR="00E376F1">
        <w:t xml:space="preserve"> a Community Psychiatric Nurse (CPN)</w:t>
      </w:r>
      <w:r w:rsidR="00023E68">
        <w:t xml:space="preserve">. </w:t>
      </w:r>
    </w:p>
    <w:p w14:paraId="04268C4E" w14:textId="00D45A56" w:rsidR="005F2797" w:rsidRDefault="00A71DCB" w:rsidP="00F63159">
      <w:pPr>
        <w:pStyle w:val="Normalnumbered"/>
      </w:pPr>
      <w:r>
        <w:t xml:space="preserve">Future proofing such a list was also considered by the group. An issue was raised about the list being too prescriptive as job titles change </w:t>
      </w:r>
      <w:r w:rsidR="001628D7">
        <w:t xml:space="preserve">which has been a concern with the MHCBS. Therefore, the group thought it would </w:t>
      </w:r>
      <w:r w:rsidR="004207B6">
        <w:t xml:space="preserve">be </w:t>
      </w:r>
      <w:r w:rsidR="000A0E87">
        <w:t>more appro</w:t>
      </w:r>
      <w:r w:rsidR="00410B3A">
        <w:t>p</w:t>
      </w:r>
      <w:r w:rsidR="000A0E87">
        <w:t>riate</w:t>
      </w:r>
      <w:r w:rsidR="00410B3A">
        <w:t xml:space="preserve"> to include a MHO, RHO, CPN and a definition of the other professionals involved with the </w:t>
      </w:r>
      <w:r w:rsidR="007837E2">
        <w:t>treatment process rather than having a specific list of professionals.</w:t>
      </w:r>
      <w:r w:rsidR="00664A86">
        <w:t xml:space="preserve"> </w:t>
      </w:r>
    </w:p>
    <w:p w14:paraId="3ED0C3BD" w14:textId="29E42074" w:rsidR="004207B6" w:rsidRDefault="0041756C" w:rsidP="00F63159">
      <w:pPr>
        <w:pStyle w:val="Normalnumbered"/>
      </w:pPr>
      <w:r>
        <w:t xml:space="preserve">The group </w:t>
      </w:r>
      <w:r w:rsidR="0060442F">
        <w:t xml:space="preserve">would </w:t>
      </w:r>
      <w:r w:rsidR="00193F2D">
        <w:t>expect</w:t>
      </w:r>
      <w:r w:rsidR="0060442F">
        <w:t xml:space="preserve"> </w:t>
      </w:r>
      <w:r>
        <w:t xml:space="preserve">the mental health professional </w:t>
      </w:r>
      <w:r w:rsidR="00003522">
        <w:t xml:space="preserve">to confirm the mental health aspect of the criteria and to establish </w:t>
      </w:r>
      <w:r w:rsidR="00124CA7">
        <w:t xml:space="preserve">whether </w:t>
      </w:r>
      <w:r w:rsidR="00003522">
        <w:t>the individual</w:t>
      </w:r>
      <w:r w:rsidR="00124CA7">
        <w:t xml:space="preserve"> does not have the</w:t>
      </w:r>
      <w:r w:rsidR="00003522">
        <w:t xml:space="preserve"> capacity to agree to the application. </w:t>
      </w:r>
      <w:r w:rsidR="00B16CB2">
        <w:t xml:space="preserve">It should be assumed the individual has capacity to apply unless otherwise </w:t>
      </w:r>
      <w:r w:rsidR="004207B6">
        <w:t>stated</w:t>
      </w:r>
      <w:r w:rsidR="00B16CB2">
        <w:t xml:space="preserve">. </w:t>
      </w:r>
    </w:p>
    <w:p w14:paraId="528D3561" w14:textId="7CE39B94" w:rsidR="00F1288C" w:rsidRDefault="00FC0EFB" w:rsidP="00F63159">
      <w:pPr>
        <w:pStyle w:val="Normalnumbered"/>
      </w:pPr>
      <w:r>
        <w:t>It is</w:t>
      </w:r>
      <w:r w:rsidR="00003522">
        <w:t xml:space="preserve"> believe</w:t>
      </w:r>
      <w:r>
        <w:t>d</w:t>
      </w:r>
      <w:r w:rsidR="00003522">
        <w:t xml:space="preserve"> the individual </w:t>
      </w:r>
      <w:r>
        <w:t>sh</w:t>
      </w:r>
      <w:r w:rsidR="00003522">
        <w:t>ould be required to sign their agreement to the moratorium application</w:t>
      </w:r>
      <w:r w:rsidR="008E0025">
        <w:t>.</w:t>
      </w:r>
      <w:r w:rsidR="00184D7C">
        <w:t xml:space="preserve"> </w:t>
      </w:r>
      <w:r w:rsidR="00F1288C">
        <w:t>Although it was expected the individual would be required to agree to the moratorium application</w:t>
      </w:r>
      <w:r w:rsidR="0054713B">
        <w:t xml:space="preserve">, the group understood that a power of attorney </w:t>
      </w:r>
      <w:r w:rsidR="006D035F">
        <w:lastRenderedPageBreak/>
        <w:t xml:space="preserve">or a guardianship order </w:t>
      </w:r>
      <w:r w:rsidR="0054713B">
        <w:t xml:space="preserve">with the necessary powers should also be eligible to </w:t>
      </w:r>
      <w:r w:rsidR="00184D7C">
        <w:t>sign the application on behalf of the individual.</w:t>
      </w:r>
    </w:p>
    <w:p w14:paraId="1F228F94" w14:textId="320F8C71" w:rsidR="00184D7C" w:rsidRDefault="00184D7C" w:rsidP="00F63159">
      <w:pPr>
        <w:pStyle w:val="Normalnumbered"/>
      </w:pPr>
      <w:r>
        <w:t xml:space="preserve">It was understood that the mental health professional may not always initiate the need for an application as it may be a debt adviser who is the first point of contact for the individual, however, it must always be the mental health professional who determines whether the individual meets the </w:t>
      </w:r>
      <w:r w:rsidR="00C30CB0" w:rsidRPr="008C43DE">
        <w:t>mental health</w:t>
      </w:r>
      <w:r w:rsidR="00C30CB0">
        <w:t xml:space="preserve"> </w:t>
      </w:r>
      <w:r>
        <w:t>eligibility criteria for the moratorium and has the capacity to agree to the application.</w:t>
      </w:r>
    </w:p>
    <w:p w14:paraId="4F2B3854" w14:textId="6101631A" w:rsidR="003E0D05" w:rsidRDefault="00194474" w:rsidP="00F63159">
      <w:pPr>
        <w:pStyle w:val="Normalnumbered"/>
      </w:pPr>
      <w:r w:rsidRPr="00ED1EA1">
        <w:t xml:space="preserve">For the pilot of the </w:t>
      </w:r>
      <w:r w:rsidR="004207B6" w:rsidRPr="00ED1EA1">
        <w:t>MHCBS</w:t>
      </w:r>
      <w:r w:rsidRPr="00ED1EA1">
        <w:t xml:space="preserve"> i</w:t>
      </w:r>
      <w:r w:rsidR="003E0D05" w:rsidRPr="00ED1EA1">
        <w:t xml:space="preserve">n England and Wales, one </w:t>
      </w:r>
      <w:r w:rsidR="004207B6" w:rsidRPr="00ED1EA1">
        <w:t>organisation called</w:t>
      </w:r>
      <w:r w:rsidR="003E0D05" w:rsidRPr="00ED1EA1">
        <w:t xml:space="preserve"> Rethink Mental Illness, </w:t>
      </w:r>
      <w:r w:rsidR="00447A46" w:rsidRPr="00ED1EA1">
        <w:t>was contracted and</w:t>
      </w:r>
      <w:r w:rsidR="003E0D05" w:rsidRPr="00ED1EA1">
        <w:t xml:space="preserve"> funded by </w:t>
      </w:r>
      <w:r w:rsidR="00354912" w:rsidRPr="00ED1EA1">
        <w:t>the Money and Pensions Service</w:t>
      </w:r>
      <w:r w:rsidR="00447A46" w:rsidRPr="00ED1EA1">
        <w:t xml:space="preserve"> to provide the referral process</w:t>
      </w:r>
      <w:r w:rsidR="003E0D05" w:rsidRPr="00ED1EA1">
        <w:t>.</w:t>
      </w:r>
      <w:r w:rsidR="00447A46" w:rsidRPr="00ED1EA1">
        <w:t xml:space="preserve"> </w:t>
      </w:r>
      <w:r w:rsidR="006E546F" w:rsidRPr="00ED1EA1">
        <w:t>A procurement process is under way for a wide scale roll out</w:t>
      </w:r>
      <w:r w:rsidR="00551C3C" w:rsidRPr="00ED1EA1">
        <w:t xml:space="preserve"> which may result in more than one organisation referring the </w:t>
      </w:r>
      <w:r w:rsidR="004207B6" w:rsidRPr="00ED1EA1">
        <w:t>MHCBS</w:t>
      </w:r>
      <w:r w:rsidR="00551C3C" w:rsidRPr="00ED1EA1">
        <w:t xml:space="preserve"> applications</w:t>
      </w:r>
      <w:r w:rsidR="006E546F" w:rsidRPr="00ED1EA1">
        <w:t>.</w:t>
      </w:r>
      <w:r w:rsidR="003E0D05">
        <w:t xml:space="preserve"> The group discussed whether to go down </w:t>
      </w:r>
      <w:r w:rsidR="006E546F">
        <w:t xml:space="preserve">the </w:t>
      </w:r>
      <w:r w:rsidR="003E0D05">
        <w:t xml:space="preserve">route </w:t>
      </w:r>
      <w:r w:rsidR="006E546F">
        <w:t xml:space="preserve">of procuring one </w:t>
      </w:r>
      <w:r w:rsidR="008C1D52">
        <w:t xml:space="preserve">organisation </w:t>
      </w:r>
      <w:r w:rsidR="003E0D05">
        <w:t xml:space="preserve">in Scotland </w:t>
      </w:r>
      <w:r w:rsidR="008C1D52">
        <w:t xml:space="preserve">to refer or apply for a </w:t>
      </w:r>
      <w:r w:rsidR="00DF7BC5">
        <w:t>MHM</w:t>
      </w:r>
      <w:r w:rsidR="008C1D52">
        <w:t xml:space="preserve"> </w:t>
      </w:r>
      <w:r w:rsidR="003E0D05">
        <w:t>but agreed it should remain open for all debt advi</w:t>
      </w:r>
      <w:r w:rsidR="746A1C60">
        <w:t>c</w:t>
      </w:r>
      <w:r w:rsidR="003E0D05">
        <w:t>e agencies</w:t>
      </w:r>
      <w:r w:rsidR="00EF0D3F" w:rsidRPr="00EF0D3F">
        <w:rPr>
          <w:rFonts w:cs="Arial"/>
        </w:rPr>
        <w:t xml:space="preserve"> </w:t>
      </w:r>
      <w:r w:rsidR="00EF0D3F" w:rsidRPr="008C43DE">
        <w:rPr>
          <w:rStyle w:val="cf01"/>
          <w:rFonts w:ascii="Arial" w:hAnsi="Arial" w:cs="Arial"/>
          <w:sz w:val="24"/>
          <w:szCs w:val="24"/>
        </w:rPr>
        <w:t>but subject to consultation, recognising that a dedicated unit experienced in dealing with MHM may be able to deliver a better and more efficient service for the customer</w:t>
      </w:r>
      <w:r w:rsidR="00A4211C" w:rsidRPr="008C43DE">
        <w:rPr>
          <w:rFonts w:cs="Arial"/>
        </w:rPr>
        <w:t xml:space="preserve"> </w:t>
      </w:r>
      <w:r w:rsidR="00A4211C" w:rsidRPr="008C43DE">
        <w:rPr>
          <w:rStyle w:val="cf01"/>
          <w:rFonts w:ascii="Arial" w:hAnsi="Arial" w:cs="Arial"/>
          <w:sz w:val="24"/>
          <w:szCs w:val="24"/>
        </w:rPr>
        <w:t>given the potential complexities of MHM cases</w:t>
      </w:r>
      <w:r w:rsidR="003E0D05" w:rsidRPr="008C43DE">
        <w:rPr>
          <w:rFonts w:cs="Arial"/>
        </w:rPr>
        <w:t>.</w:t>
      </w:r>
      <w:r w:rsidR="003E0D05" w:rsidRPr="00EF0D3F">
        <w:rPr>
          <w:rFonts w:cs="Arial"/>
        </w:rPr>
        <w:t xml:space="preserve"> </w:t>
      </w:r>
      <w:r w:rsidR="0047231F">
        <w:t>The Accountant in Bankruptcy (</w:t>
      </w:r>
      <w:r w:rsidR="003E0D05">
        <w:t>AiB</w:t>
      </w:r>
      <w:r w:rsidR="0047231F">
        <w:t>)</w:t>
      </w:r>
      <w:r w:rsidR="003E0D05">
        <w:t xml:space="preserve"> have a list of approved money advisers that </w:t>
      </w:r>
      <w:r w:rsidR="00CB7A13">
        <w:t>could potentially</w:t>
      </w:r>
      <w:r w:rsidR="003E0D05">
        <w:t xml:space="preserve"> be utilised by mental health professionals. </w:t>
      </w:r>
    </w:p>
    <w:p w14:paraId="6293873A" w14:textId="157FC99F" w:rsidR="003D7019" w:rsidRPr="00ED1EA1" w:rsidRDefault="003D7019" w:rsidP="00F63159">
      <w:pPr>
        <w:pStyle w:val="Normalnumbered"/>
      </w:pPr>
      <w:r w:rsidRPr="00ED1EA1">
        <w:rPr>
          <w:rStyle w:val="cf01"/>
          <w:rFonts w:ascii="Arial" w:hAnsi="Arial" w:cs="Arial"/>
          <w:sz w:val="24"/>
          <w:szCs w:val="24"/>
        </w:rPr>
        <w:t xml:space="preserve">The group also reflected on the importance </w:t>
      </w:r>
      <w:r w:rsidR="004207B6" w:rsidRPr="00ED1EA1">
        <w:rPr>
          <w:rStyle w:val="cf01"/>
          <w:rFonts w:ascii="Arial" w:hAnsi="Arial" w:cs="Arial"/>
          <w:sz w:val="24"/>
          <w:szCs w:val="24"/>
        </w:rPr>
        <w:t>of</w:t>
      </w:r>
      <w:r w:rsidRPr="00ED1EA1">
        <w:rPr>
          <w:rStyle w:val="cf01"/>
          <w:rFonts w:ascii="Arial" w:hAnsi="Arial" w:cs="Arial"/>
          <w:sz w:val="24"/>
          <w:szCs w:val="24"/>
        </w:rPr>
        <w:t xml:space="preserve"> raising awareness of the </w:t>
      </w:r>
      <w:r w:rsidR="00DF7BC5">
        <w:rPr>
          <w:rStyle w:val="cf01"/>
          <w:rFonts w:ascii="Arial" w:hAnsi="Arial" w:cs="Arial"/>
          <w:sz w:val="24"/>
          <w:szCs w:val="24"/>
        </w:rPr>
        <w:t>MHM</w:t>
      </w:r>
      <w:r w:rsidR="007E72C3" w:rsidRPr="00ED1EA1">
        <w:rPr>
          <w:rStyle w:val="cf01"/>
          <w:rFonts w:ascii="Arial" w:hAnsi="Arial" w:cs="Arial"/>
          <w:sz w:val="24"/>
          <w:szCs w:val="24"/>
        </w:rPr>
        <w:t xml:space="preserve"> prior to </w:t>
      </w:r>
      <w:r w:rsidR="003A3DAE" w:rsidRPr="00ED1EA1">
        <w:rPr>
          <w:rStyle w:val="cf01"/>
          <w:rFonts w:ascii="Arial" w:hAnsi="Arial" w:cs="Arial"/>
          <w:sz w:val="24"/>
          <w:szCs w:val="24"/>
        </w:rPr>
        <w:t>the legislation being introduced.</w:t>
      </w:r>
      <w:r w:rsidRPr="00ED1EA1">
        <w:rPr>
          <w:rStyle w:val="cf01"/>
          <w:rFonts w:ascii="Arial" w:hAnsi="Arial" w:cs="Arial"/>
          <w:sz w:val="24"/>
          <w:szCs w:val="24"/>
        </w:rPr>
        <w:t xml:space="preserve"> As this had been considered a possible factor in the lower </w:t>
      </w:r>
      <w:r w:rsidR="007E72C3" w:rsidRPr="00ED1EA1">
        <w:rPr>
          <w:rStyle w:val="cf01"/>
          <w:rFonts w:ascii="Arial" w:hAnsi="Arial" w:cs="Arial"/>
          <w:sz w:val="24"/>
          <w:szCs w:val="24"/>
        </w:rPr>
        <w:t xml:space="preserve">than expected </w:t>
      </w:r>
      <w:r w:rsidRPr="00ED1EA1">
        <w:rPr>
          <w:rStyle w:val="cf01"/>
          <w:rFonts w:ascii="Arial" w:hAnsi="Arial" w:cs="Arial"/>
          <w:sz w:val="24"/>
          <w:szCs w:val="24"/>
        </w:rPr>
        <w:t xml:space="preserve">numbers for MHCBS, the group believe awareness of </w:t>
      </w:r>
      <w:r w:rsidR="007905F9" w:rsidRPr="00ED1EA1">
        <w:rPr>
          <w:rStyle w:val="cf01"/>
          <w:rFonts w:ascii="Arial" w:hAnsi="Arial" w:cs="Arial"/>
          <w:sz w:val="24"/>
          <w:szCs w:val="24"/>
        </w:rPr>
        <w:t>a</w:t>
      </w:r>
      <w:r w:rsidRPr="00ED1EA1">
        <w:rPr>
          <w:rStyle w:val="cf01"/>
          <w:rFonts w:ascii="Arial" w:hAnsi="Arial" w:cs="Arial"/>
          <w:sz w:val="24"/>
          <w:szCs w:val="24"/>
        </w:rPr>
        <w:t xml:space="preserve"> </w:t>
      </w:r>
      <w:r w:rsidR="00DF7BC5">
        <w:rPr>
          <w:rStyle w:val="cf01"/>
          <w:rFonts w:ascii="Arial" w:hAnsi="Arial" w:cs="Arial"/>
          <w:sz w:val="24"/>
          <w:szCs w:val="24"/>
        </w:rPr>
        <w:t>MHM</w:t>
      </w:r>
      <w:r w:rsidRPr="00ED1EA1">
        <w:rPr>
          <w:rStyle w:val="cf01"/>
          <w:rFonts w:ascii="Arial" w:hAnsi="Arial" w:cs="Arial"/>
          <w:sz w:val="24"/>
          <w:szCs w:val="24"/>
        </w:rPr>
        <w:t xml:space="preserve"> in Scotland could be a vital aspect to its success in helping those who need the protection it </w:t>
      </w:r>
      <w:r w:rsidR="007905F9" w:rsidRPr="00ED1EA1">
        <w:rPr>
          <w:rStyle w:val="cf01"/>
          <w:rFonts w:ascii="Arial" w:hAnsi="Arial" w:cs="Arial"/>
          <w:sz w:val="24"/>
          <w:szCs w:val="24"/>
        </w:rPr>
        <w:t>can</w:t>
      </w:r>
      <w:r w:rsidRPr="00ED1EA1">
        <w:rPr>
          <w:rStyle w:val="cf01"/>
          <w:rFonts w:ascii="Arial" w:hAnsi="Arial" w:cs="Arial"/>
          <w:sz w:val="24"/>
          <w:szCs w:val="24"/>
        </w:rPr>
        <w:t xml:space="preserve"> provide. Therefore, the group </w:t>
      </w:r>
      <w:r w:rsidR="007905F9" w:rsidRPr="00ED1EA1">
        <w:rPr>
          <w:rStyle w:val="cf01"/>
          <w:rFonts w:ascii="Arial" w:hAnsi="Arial" w:cs="Arial"/>
          <w:sz w:val="24"/>
          <w:szCs w:val="24"/>
        </w:rPr>
        <w:t xml:space="preserve">suggested </w:t>
      </w:r>
      <w:r w:rsidRPr="00ED1EA1">
        <w:rPr>
          <w:rStyle w:val="cf01"/>
          <w:rFonts w:ascii="Arial" w:hAnsi="Arial" w:cs="Arial"/>
          <w:sz w:val="24"/>
          <w:szCs w:val="24"/>
        </w:rPr>
        <w:t xml:space="preserve">that </w:t>
      </w:r>
      <w:r w:rsidR="00F23607" w:rsidRPr="00ED1EA1">
        <w:rPr>
          <w:rStyle w:val="cf01"/>
          <w:rFonts w:ascii="Arial" w:hAnsi="Arial" w:cs="Arial"/>
          <w:sz w:val="24"/>
          <w:szCs w:val="24"/>
        </w:rPr>
        <w:t xml:space="preserve">every </w:t>
      </w:r>
      <w:r w:rsidRPr="00ED1EA1">
        <w:rPr>
          <w:rStyle w:val="cf01"/>
          <w:rFonts w:ascii="Arial" w:hAnsi="Arial" w:cs="Arial"/>
          <w:sz w:val="24"/>
          <w:szCs w:val="24"/>
        </w:rPr>
        <w:t>individual who fall</w:t>
      </w:r>
      <w:r w:rsidR="00F23607" w:rsidRPr="00ED1EA1">
        <w:rPr>
          <w:rStyle w:val="cf01"/>
          <w:rFonts w:ascii="Arial" w:hAnsi="Arial" w:cs="Arial"/>
          <w:sz w:val="24"/>
          <w:szCs w:val="24"/>
        </w:rPr>
        <w:t>s</w:t>
      </w:r>
      <w:r w:rsidRPr="00ED1EA1">
        <w:rPr>
          <w:rStyle w:val="cf01"/>
          <w:rFonts w:ascii="Arial" w:hAnsi="Arial" w:cs="Arial"/>
          <w:sz w:val="24"/>
          <w:szCs w:val="24"/>
        </w:rPr>
        <w:t xml:space="preserve"> under the mental health aspect of the entry criteria should be made aware of</w:t>
      </w:r>
      <w:r w:rsidR="00F23607" w:rsidRPr="00ED1EA1">
        <w:rPr>
          <w:rStyle w:val="cf01"/>
          <w:rFonts w:ascii="Arial" w:hAnsi="Arial" w:cs="Arial"/>
          <w:sz w:val="24"/>
          <w:szCs w:val="24"/>
        </w:rPr>
        <w:t>,</w:t>
      </w:r>
      <w:r w:rsidRPr="00ED1EA1">
        <w:rPr>
          <w:rStyle w:val="cf01"/>
          <w:rFonts w:ascii="Arial" w:hAnsi="Arial" w:cs="Arial"/>
          <w:sz w:val="24"/>
          <w:szCs w:val="24"/>
        </w:rPr>
        <w:t xml:space="preserve"> and automatically offered</w:t>
      </w:r>
      <w:r w:rsidR="00F23607" w:rsidRPr="00ED1EA1">
        <w:rPr>
          <w:rStyle w:val="cf01"/>
          <w:rFonts w:ascii="Arial" w:hAnsi="Arial" w:cs="Arial"/>
          <w:sz w:val="24"/>
          <w:szCs w:val="24"/>
        </w:rPr>
        <w:t>,</w:t>
      </w:r>
      <w:r w:rsidRPr="00ED1EA1">
        <w:rPr>
          <w:rStyle w:val="cf01"/>
          <w:rFonts w:ascii="Arial" w:hAnsi="Arial" w:cs="Arial"/>
          <w:sz w:val="24"/>
          <w:szCs w:val="24"/>
        </w:rPr>
        <w:t xml:space="preserve"> access to a </w:t>
      </w:r>
      <w:r w:rsidR="00DF7BC5">
        <w:rPr>
          <w:rStyle w:val="cf01"/>
          <w:rFonts w:ascii="Arial" w:hAnsi="Arial" w:cs="Arial"/>
          <w:sz w:val="24"/>
          <w:szCs w:val="24"/>
        </w:rPr>
        <w:t>MHM</w:t>
      </w:r>
      <w:r w:rsidRPr="00ED1EA1">
        <w:rPr>
          <w:rStyle w:val="cf01"/>
          <w:rFonts w:ascii="Arial" w:hAnsi="Arial" w:cs="Arial"/>
          <w:sz w:val="24"/>
          <w:szCs w:val="24"/>
        </w:rPr>
        <w:t xml:space="preserve"> </w:t>
      </w:r>
      <w:r w:rsidR="00F23607" w:rsidRPr="00ED1EA1">
        <w:rPr>
          <w:rStyle w:val="cf01"/>
          <w:rFonts w:ascii="Arial" w:hAnsi="Arial" w:cs="Arial"/>
          <w:sz w:val="24"/>
          <w:szCs w:val="24"/>
        </w:rPr>
        <w:t>from the outset of</w:t>
      </w:r>
      <w:r w:rsidRPr="00ED1EA1">
        <w:rPr>
          <w:rStyle w:val="cf01"/>
          <w:rFonts w:ascii="Arial" w:hAnsi="Arial" w:cs="Arial"/>
          <w:sz w:val="24"/>
          <w:szCs w:val="24"/>
        </w:rPr>
        <w:t xml:space="preserve"> their treatment.</w:t>
      </w:r>
    </w:p>
    <w:p w14:paraId="126A1A32" w14:textId="5A641C1E" w:rsidR="00E21B80" w:rsidRPr="00544291" w:rsidRDefault="00E21B80" w:rsidP="005F3B2F">
      <w:pPr>
        <w:pStyle w:val="Heading3"/>
      </w:pPr>
      <w:bookmarkStart w:id="19" w:name="_Toc100244824"/>
      <w:r w:rsidRPr="008E2E0E">
        <w:rPr>
          <w:rFonts w:eastAsia="Arial"/>
        </w:rPr>
        <w:t>Recommendation</w:t>
      </w:r>
      <w:r w:rsidR="005F3B2F">
        <w:rPr>
          <w:rFonts w:eastAsia="Arial"/>
        </w:rPr>
        <w:t>s</w:t>
      </w:r>
    </w:p>
    <w:p w14:paraId="5EE4E77A" w14:textId="0D76CF63" w:rsidR="00470BB9" w:rsidRPr="007C2A94" w:rsidRDefault="00E21B80" w:rsidP="00D70313">
      <w:pPr>
        <w:pStyle w:val="Bulletpoints"/>
      </w:pPr>
      <w:r w:rsidRPr="007C2A94">
        <w:rPr>
          <w:b/>
          <w:bCs/>
        </w:rPr>
        <w:lastRenderedPageBreak/>
        <w:t>Recommendation 1</w:t>
      </w:r>
      <w:r w:rsidRPr="007C2A94">
        <w:t xml:space="preserve"> - The group recommends the individual applying for a </w:t>
      </w:r>
      <w:r w:rsidR="00DF7BC5" w:rsidRPr="007C2A94">
        <w:t>MHM</w:t>
      </w:r>
      <w:r w:rsidRPr="007C2A94">
        <w:t xml:space="preserve"> must be receiving treatment under </w:t>
      </w:r>
      <w:r w:rsidR="0039570F" w:rsidRPr="007C2A94">
        <w:t xml:space="preserve">one of the following </w:t>
      </w:r>
      <w:r w:rsidR="00470BB9" w:rsidRPr="007C2A94">
        <w:t>provisions:</w:t>
      </w:r>
    </w:p>
    <w:p w14:paraId="3C3923E5" w14:textId="0DAA1881" w:rsidR="00470BB9" w:rsidRPr="007C2A94" w:rsidRDefault="00E21B80" w:rsidP="00D70313">
      <w:pPr>
        <w:pStyle w:val="Bulletslevel2"/>
      </w:pPr>
      <w:r w:rsidRPr="007C2A94">
        <w:t xml:space="preserve">Part 6 </w:t>
      </w:r>
      <w:r w:rsidR="00470BB9" w:rsidRPr="007C2A94">
        <w:t xml:space="preserve">of the </w:t>
      </w:r>
      <w:r w:rsidR="00694AA9" w:rsidRPr="007C2A94">
        <w:t xml:space="preserve">2003 </w:t>
      </w:r>
      <w:r w:rsidR="00470BB9" w:rsidRPr="007C2A94">
        <w:t>Act</w:t>
      </w:r>
      <w:r w:rsidR="00F5573C" w:rsidRPr="007C2A94">
        <w:t xml:space="preserve"> – S</w:t>
      </w:r>
      <w:r w:rsidR="00CE42BC" w:rsidRPr="007C2A94">
        <w:t>hort-term detention</w:t>
      </w:r>
    </w:p>
    <w:p w14:paraId="71D0EC2D" w14:textId="00773E95" w:rsidR="00470BB9" w:rsidRPr="007C2A94" w:rsidRDefault="00E21B80" w:rsidP="00D70313">
      <w:pPr>
        <w:pStyle w:val="Bulletslevel2"/>
      </w:pPr>
      <w:r w:rsidRPr="007C2A94">
        <w:t xml:space="preserve">Part 7 of the </w:t>
      </w:r>
      <w:r w:rsidR="00694AA9" w:rsidRPr="007C2A94">
        <w:t xml:space="preserve">2003 </w:t>
      </w:r>
      <w:r w:rsidRPr="007C2A94">
        <w:t>Act</w:t>
      </w:r>
      <w:r w:rsidR="00694AA9" w:rsidRPr="007C2A94">
        <w:t xml:space="preserve"> </w:t>
      </w:r>
      <w:r w:rsidR="002140A1" w:rsidRPr="007C2A94">
        <w:t>– an interim C</w:t>
      </w:r>
      <w:r w:rsidR="00CE42BC" w:rsidRPr="007C2A94">
        <w:t xml:space="preserve">ompulsory </w:t>
      </w:r>
      <w:r w:rsidR="002140A1" w:rsidRPr="007C2A94">
        <w:t>T</w:t>
      </w:r>
      <w:r w:rsidR="00CE42BC" w:rsidRPr="007C2A94">
        <w:t xml:space="preserve">reatment </w:t>
      </w:r>
      <w:r w:rsidR="002140A1" w:rsidRPr="007C2A94">
        <w:t>O</w:t>
      </w:r>
      <w:r w:rsidR="00CE42BC" w:rsidRPr="007C2A94">
        <w:t>rder</w:t>
      </w:r>
      <w:r w:rsidR="002140A1" w:rsidRPr="007C2A94">
        <w:t xml:space="preserve"> and a </w:t>
      </w:r>
      <w:r w:rsidR="00C0236B" w:rsidRPr="007C2A94">
        <w:t>Compulsory</w:t>
      </w:r>
      <w:r w:rsidR="00CE42BC" w:rsidRPr="007C2A94">
        <w:t xml:space="preserve"> </w:t>
      </w:r>
      <w:r w:rsidR="002140A1" w:rsidRPr="007C2A94">
        <w:t>T</w:t>
      </w:r>
      <w:r w:rsidR="00CE42BC" w:rsidRPr="007C2A94">
        <w:t xml:space="preserve">reatment </w:t>
      </w:r>
      <w:r w:rsidR="002140A1" w:rsidRPr="007C2A94">
        <w:t>O</w:t>
      </w:r>
      <w:r w:rsidR="00CE42BC" w:rsidRPr="007C2A94">
        <w:t>rder</w:t>
      </w:r>
    </w:p>
    <w:p w14:paraId="42B6BB5E" w14:textId="42E53F16" w:rsidR="00242C9D" w:rsidRPr="007C2A94" w:rsidRDefault="00242C9D" w:rsidP="00D70313">
      <w:pPr>
        <w:pStyle w:val="Bulletslevel2"/>
      </w:pPr>
      <w:r>
        <w:t>Section 136 of the 2003 Act – Transfer of prisoners for treatment for mental disorder</w:t>
      </w:r>
    </w:p>
    <w:p w14:paraId="08E6A9B2" w14:textId="225CDE72" w:rsidR="00CE42BC" w:rsidRPr="007C2A94" w:rsidRDefault="00CE42BC" w:rsidP="00D70313">
      <w:pPr>
        <w:pStyle w:val="Bulletslevel2"/>
      </w:pPr>
      <w:r w:rsidRPr="007C2A94">
        <w:t xml:space="preserve">Section 52D of the </w:t>
      </w:r>
      <w:r w:rsidR="00694AA9" w:rsidRPr="007C2A94">
        <w:t>1995 Act – Assessment Order</w:t>
      </w:r>
    </w:p>
    <w:p w14:paraId="5FCE7C4D" w14:textId="2D22E13A" w:rsidR="003C1C16" w:rsidRPr="007C2A94" w:rsidRDefault="003C1C16" w:rsidP="00D70313">
      <w:pPr>
        <w:pStyle w:val="Bulletslevel2"/>
      </w:pPr>
      <w:r w:rsidRPr="007C2A94">
        <w:t>Section 52M of the 1995 Act – Treatment Order</w:t>
      </w:r>
    </w:p>
    <w:p w14:paraId="2E2731BB" w14:textId="21A0D5E6" w:rsidR="003C1C16" w:rsidRPr="007C2A94" w:rsidRDefault="003C1C16" w:rsidP="00D70313">
      <w:pPr>
        <w:pStyle w:val="Bulletslevel2"/>
      </w:pPr>
      <w:r w:rsidRPr="007C2A94">
        <w:t>Section 53 of the 1995 Act – Interim Compulsion Order</w:t>
      </w:r>
    </w:p>
    <w:p w14:paraId="1FB20E3B" w14:textId="5971637D" w:rsidR="00E21B80" w:rsidRPr="007C2A94" w:rsidRDefault="00694AA9" w:rsidP="00D70313">
      <w:pPr>
        <w:pStyle w:val="Bulletslevel2"/>
      </w:pPr>
      <w:r w:rsidRPr="007C2A94">
        <w:t>S</w:t>
      </w:r>
      <w:r w:rsidR="00355415" w:rsidRPr="007C2A94">
        <w:t>ection 5</w:t>
      </w:r>
      <w:r w:rsidR="000A73B7" w:rsidRPr="007C2A94">
        <w:t>7A</w:t>
      </w:r>
      <w:r w:rsidR="00DB7C8E" w:rsidRPr="007C2A94">
        <w:t xml:space="preserve"> </w:t>
      </w:r>
      <w:r w:rsidR="00355415" w:rsidRPr="007C2A94">
        <w:t xml:space="preserve">of the </w:t>
      </w:r>
      <w:r w:rsidRPr="007C2A94">
        <w:t xml:space="preserve">1995 </w:t>
      </w:r>
      <w:r w:rsidR="009874E0" w:rsidRPr="007C2A94">
        <w:t>Act</w:t>
      </w:r>
      <w:r w:rsidRPr="007C2A94">
        <w:t xml:space="preserve"> </w:t>
      </w:r>
      <w:r w:rsidR="0030536D" w:rsidRPr="007C2A94">
        <w:t>–</w:t>
      </w:r>
      <w:r w:rsidRPr="007C2A94">
        <w:t xml:space="preserve"> Compulsion Order</w:t>
      </w:r>
    </w:p>
    <w:p w14:paraId="7AB1FEA7" w14:textId="32F8BAA1" w:rsidR="0030536D" w:rsidRPr="007C2A94" w:rsidRDefault="0030536D" w:rsidP="00D70313">
      <w:pPr>
        <w:pStyle w:val="bulletslevel2after18"/>
      </w:pPr>
      <w:r w:rsidRPr="007C2A94">
        <w:t>Section 59A of the 1995 Act – Hospital direction</w:t>
      </w:r>
    </w:p>
    <w:p w14:paraId="6D2C019E" w14:textId="5D0E8403" w:rsidR="00E21B80" w:rsidRPr="00544291" w:rsidRDefault="00E21B80" w:rsidP="00D70313">
      <w:pPr>
        <w:pStyle w:val="bulletsafter18"/>
      </w:pPr>
      <w:r w:rsidRPr="00CA53A3">
        <w:rPr>
          <w:b/>
        </w:rPr>
        <w:t>Recommendation 2</w:t>
      </w:r>
      <w:r w:rsidRPr="00CA53A3">
        <w:t xml:space="preserve"> - The group r</w:t>
      </w:r>
      <w:r w:rsidR="00CA53A3" w:rsidRPr="00CA53A3">
        <w:t>ecommends</w:t>
      </w:r>
      <w:r w:rsidR="00CA53A3">
        <w:t xml:space="preserve"> that </w:t>
      </w:r>
      <w:r w:rsidR="0030093E">
        <w:t xml:space="preserve">a debt adviser </w:t>
      </w:r>
      <w:r w:rsidR="00B60174">
        <w:t xml:space="preserve">should </w:t>
      </w:r>
      <w:r w:rsidR="00CA53A3">
        <w:t>submit</w:t>
      </w:r>
      <w:r w:rsidR="001F766B">
        <w:t xml:space="preserve"> an application to AiB for a </w:t>
      </w:r>
      <w:r w:rsidR="00DF7BC5">
        <w:t>MHM</w:t>
      </w:r>
      <w:r w:rsidR="001F766B">
        <w:t xml:space="preserve">. The adviser </w:t>
      </w:r>
      <w:r w:rsidR="003C282A">
        <w:t>would</w:t>
      </w:r>
      <w:r w:rsidR="001F766B">
        <w:t xml:space="preserve"> log into the IT system and submit the application on behalf of the individual</w:t>
      </w:r>
      <w:r w:rsidR="001F766B" w:rsidRPr="008C43DE">
        <w:t>.</w:t>
      </w:r>
      <w:r w:rsidR="00AF0589" w:rsidRPr="008C43DE">
        <w:rPr>
          <w:rFonts w:cs="Arial"/>
          <w:szCs w:val="24"/>
        </w:rPr>
        <w:t xml:space="preserve"> </w:t>
      </w:r>
      <w:r w:rsidR="00D14C73" w:rsidRPr="008C43DE">
        <w:rPr>
          <w:rStyle w:val="cf01"/>
          <w:rFonts w:ascii="Arial" w:hAnsi="Arial" w:cs="Arial"/>
          <w:sz w:val="24"/>
          <w:szCs w:val="24"/>
        </w:rPr>
        <w:t>The</w:t>
      </w:r>
      <w:r w:rsidR="00AF0589" w:rsidRPr="008C43DE">
        <w:rPr>
          <w:rStyle w:val="cf01"/>
          <w:rFonts w:ascii="Arial" w:hAnsi="Arial" w:cs="Arial"/>
          <w:sz w:val="24"/>
          <w:szCs w:val="24"/>
        </w:rPr>
        <w:t xml:space="preserve"> debt adviser </w:t>
      </w:r>
      <w:r w:rsidR="00D14C73" w:rsidRPr="008C43DE">
        <w:rPr>
          <w:rStyle w:val="cf01"/>
          <w:rFonts w:ascii="Arial" w:hAnsi="Arial" w:cs="Arial"/>
          <w:sz w:val="24"/>
          <w:szCs w:val="24"/>
        </w:rPr>
        <w:t>should not be able to</w:t>
      </w:r>
      <w:r w:rsidR="00AF0589" w:rsidRPr="008C43DE">
        <w:rPr>
          <w:rStyle w:val="cf01"/>
          <w:rFonts w:ascii="Arial" w:hAnsi="Arial" w:cs="Arial"/>
          <w:sz w:val="24"/>
          <w:szCs w:val="24"/>
        </w:rPr>
        <w:t xml:space="preserve"> charge a fee in connection with the moratorium</w:t>
      </w:r>
      <w:r w:rsidR="00D14C73" w:rsidRPr="008C43DE">
        <w:rPr>
          <w:rStyle w:val="cf01"/>
          <w:rFonts w:ascii="Arial" w:hAnsi="Arial" w:cs="Arial"/>
          <w:sz w:val="24"/>
          <w:szCs w:val="24"/>
        </w:rPr>
        <w:t>.</w:t>
      </w:r>
    </w:p>
    <w:p w14:paraId="4C46F34C" w14:textId="4C7F6CE3" w:rsidR="00E21B80" w:rsidRPr="005C02F4" w:rsidRDefault="00E21B80" w:rsidP="00D70313">
      <w:pPr>
        <w:pStyle w:val="bulletsafter18"/>
      </w:pPr>
      <w:r w:rsidRPr="48B7F7E9">
        <w:rPr>
          <w:b/>
          <w:bCs/>
        </w:rPr>
        <w:t>Recommendation 3</w:t>
      </w:r>
      <w:r>
        <w:t xml:space="preserve"> - The group would also recommend </w:t>
      </w:r>
      <w:r w:rsidR="00706379">
        <w:t xml:space="preserve">the application must include supporting evidence (a statutory form confirming the mental health treatment signed by the </w:t>
      </w:r>
      <w:r w:rsidR="001F766B">
        <w:t>mental health professional</w:t>
      </w:r>
      <w:r w:rsidR="00706379">
        <w:t>) and confirmation of debts due (signed by the adviser) as well as a signed agreement from the individual</w:t>
      </w:r>
      <w:r w:rsidR="005F49DC">
        <w:t xml:space="preserve"> (or power of attorney, where appropriate)</w:t>
      </w:r>
      <w:r>
        <w:t>.</w:t>
      </w:r>
    </w:p>
    <w:p w14:paraId="281B348B" w14:textId="0AA6D963" w:rsidR="005F2797" w:rsidRPr="00544291" w:rsidRDefault="00C961A1" w:rsidP="005F3B2F">
      <w:pPr>
        <w:pStyle w:val="Heading2"/>
      </w:pPr>
      <w:bookmarkStart w:id="20" w:name="_Toc135390766"/>
      <w:bookmarkStart w:id="21" w:name="_Toc137650312"/>
      <w:bookmarkStart w:id="22" w:name="_Toc142992103"/>
      <w:r>
        <w:rPr>
          <w:rFonts w:eastAsia="Arial"/>
        </w:rPr>
        <w:t>Period of protection</w:t>
      </w:r>
      <w:bookmarkEnd w:id="19"/>
      <w:bookmarkEnd w:id="20"/>
      <w:bookmarkEnd w:id="21"/>
      <w:bookmarkEnd w:id="22"/>
      <w:r w:rsidR="005F2797" w:rsidRPr="004C2962">
        <w:rPr>
          <w:rFonts w:eastAsia="Arial" w:cs="Arial"/>
          <w:szCs w:val="24"/>
        </w:rPr>
        <w:t xml:space="preserve"> </w:t>
      </w:r>
    </w:p>
    <w:p w14:paraId="4F6070EB" w14:textId="03E72D5A" w:rsidR="005F2797" w:rsidRPr="00544291" w:rsidRDefault="005F2797" w:rsidP="005F3B2F">
      <w:pPr>
        <w:pStyle w:val="Heading3"/>
      </w:pPr>
      <w:r w:rsidRPr="008E2E0E">
        <w:rPr>
          <w:rFonts w:eastAsia="Arial"/>
        </w:rPr>
        <w:t>Discussion</w:t>
      </w:r>
      <w:r w:rsidRPr="004C2962">
        <w:rPr>
          <w:rFonts w:eastAsia="Arial"/>
        </w:rPr>
        <w:t xml:space="preserve"> </w:t>
      </w:r>
    </w:p>
    <w:p w14:paraId="1FB18459" w14:textId="576D74C2" w:rsidR="00F50FA6" w:rsidRDefault="009606E1" w:rsidP="00F63159">
      <w:pPr>
        <w:pStyle w:val="Normalnumbered"/>
      </w:pPr>
      <w:r>
        <w:t xml:space="preserve">Having considered the approach taken </w:t>
      </w:r>
      <w:r w:rsidR="00C36CCB">
        <w:t xml:space="preserve">with the </w:t>
      </w:r>
      <w:r w:rsidR="00D11130">
        <w:t>MH</w:t>
      </w:r>
      <w:r w:rsidR="0047231F">
        <w:t>C</w:t>
      </w:r>
      <w:r w:rsidR="00D11130">
        <w:t xml:space="preserve">BS in England and Wales and the purpose of a Scottish </w:t>
      </w:r>
      <w:r w:rsidR="00DF7BC5">
        <w:t>MHM</w:t>
      </w:r>
      <w:r w:rsidR="00183B02">
        <w:t>,</w:t>
      </w:r>
      <w:r w:rsidR="00D11130">
        <w:t xml:space="preserve"> t</w:t>
      </w:r>
      <w:r w:rsidR="00AE6B5A" w:rsidRPr="00D41AF3">
        <w:t xml:space="preserve">he group believe it </w:t>
      </w:r>
      <w:r w:rsidR="00D11130">
        <w:t xml:space="preserve">would be </w:t>
      </w:r>
      <w:r w:rsidR="00CE3265">
        <w:t>appr</w:t>
      </w:r>
      <w:r w:rsidR="00A03280">
        <w:t xml:space="preserve">opriate for the moratorium to include two </w:t>
      </w:r>
      <w:r w:rsidR="008A5F7C">
        <w:t>consecutive</w:t>
      </w:r>
      <w:r w:rsidR="00F62A3F">
        <w:t xml:space="preserve"> </w:t>
      </w:r>
      <w:r w:rsidR="00A03280">
        <w:t xml:space="preserve">protection periods. </w:t>
      </w:r>
      <w:r w:rsidR="00F50FA6">
        <w:t xml:space="preserve">The first period should allow the individual time to focus </w:t>
      </w:r>
      <w:r w:rsidR="00F17CC8">
        <w:t xml:space="preserve">solely </w:t>
      </w:r>
      <w:r w:rsidR="00F50FA6">
        <w:t>on their mental health crisis</w:t>
      </w:r>
      <w:r w:rsidR="00210122">
        <w:t xml:space="preserve">. </w:t>
      </w:r>
      <w:r w:rsidR="00477CAA">
        <w:lastRenderedPageBreak/>
        <w:t>Th</w:t>
      </w:r>
      <w:r w:rsidR="00F50FA6">
        <w:t>erefore</w:t>
      </w:r>
      <w:r w:rsidR="00F62A3F">
        <w:t>,</w:t>
      </w:r>
      <w:r w:rsidR="00477CAA">
        <w:t xml:space="preserve"> it would seem sensible for this to</w:t>
      </w:r>
      <w:r w:rsidR="00F50FA6">
        <w:t xml:space="preserve"> align </w:t>
      </w:r>
      <w:r w:rsidR="00477CAA">
        <w:t>with</w:t>
      </w:r>
      <w:r w:rsidR="00F50FA6">
        <w:t xml:space="preserve"> the length of their mental health treatment.</w:t>
      </w:r>
    </w:p>
    <w:p w14:paraId="629FB799" w14:textId="157E8C14" w:rsidR="00AE6B5A" w:rsidRPr="00D41AF3" w:rsidRDefault="00050CFC" w:rsidP="00F63159">
      <w:pPr>
        <w:pStyle w:val="Normalnumbered"/>
        <w:rPr>
          <w:b/>
          <w:bCs/>
        </w:rPr>
      </w:pPr>
      <w:r>
        <w:t>The group</w:t>
      </w:r>
      <w:r w:rsidR="00F50FA6">
        <w:t xml:space="preserve"> </w:t>
      </w:r>
      <w:r>
        <w:t>acknowledged</w:t>
      </w:r>
      <w:r w:rsidR="00F50FA6">
        <w:t xml:space="preserve"> </w:t>
      </w:r>
      <w:r>
        <w:t>the</w:t>
      </w:r>
      <w:r w:rsidR="00AE6B5A" w:rsidRPr="00D41AF3">
        <w:t xml:space="preserve"> importan</w:t>
      </w:r>
      <w:r>
        <w:t>ce</w:t>
      </w:r>
      <w:r w:rsidR="00AE6B5A" w:rsidRPr="00D41AF3">
        <w:t xml:space="preserve"> </w:t>
      </w:r>
      <w:r>
        <w:t>of</w:t>
      </w:r>
      <w:r w:rsidR="00AE6B5A" w:rsidRPr="00D41AF3">
        <w:t xml:space="preserve"> those in a </w:t>
      </w:r>
      <w:r w:rsidR="00DF7BC5">
        <w:t>MHM</w:t>
      </w:r>
      <w:r w:rsidR="00AE6B5A" w:rsidRPr="00D41AF3">
        <w:t xml:space="preserve"> not immediately </w:t>
      </w:r>
      <w:r w:rsidR="008B4ABA">
        <w:t xml:space="preserve">being </w:t>
      </w:r>
      <w:r w:rsidR="00AE6B5A" w:rsidRPr="00D41AF3">
        <w:t>pressured by their financial problems</w:t>
      </w:r>
      <w:r w:rsidR="007B47EA">
        <w:t xml:space="preserve"> </w:t>
      </w:r>
      <w:r w:rsidR="00AE6B5A" w:rsidRPr="00D41AF3">
        <w:t xml:space="preserve">on completing their treatment. </w:t>
      </w:r>
      <w:r w:rsidR="00F17CC8">
        <w:t>Therefore, m</w:t>
      </w:r>
      <w:r w:rsidR="00AE6B5A" w:rsidRPr="00D41AF3">
        <w:t xml:space="preserve">embers agreed that any individual </w:t>
      </w:r>
      <w:r w:rsidR="00730763">
        <w:t>in a</w:t>
      </w:r>
      <w:r w:rsidR="00AE6B5A" w:rsidRPr="00D41AF3">
        <w:t xml:space="preserve"> </w:t>
      </w:r>
      <w:r w:rsidR="00DF7BC5">
        <w:t>MHM</w:t>
      </w:r>
      <w:r w:rsidR="00AE6B5A" w:rsidRPr="00D41AF3">
        <w:t xml:space="preserve"> should be provided with an additional period of </w:t>
      </w:r>
      <w:r w:rsidR="00517E82">
        <w:t>protection</w:t>
      </w:r>
      <w:r w:rsidR="00AE6B5A" w:rsidRPr="00D41AF3">
        <w:t xml:space="preserve"> </w:t>
      </w:r>
      <w:r w:rsidR="00F17CC8">
        <w:t>after completi</w:t>
      </w:r>
      <w:r w:rsidR="00517E82">
        <w:t>ng</w:t>
      </w:r>
      <w:r w:rsidR="00F17CC8">
        <w:t xml:space="preserve"> their treatment </w:t>
      </w:r>
      <w:r w:rsidR="008B24E2">
        <w:t>which will</w:t>
      </w:r>
      <w:r w:rsidR="00AE6B5A" w:rsidRPr="00D41AF3">
        <w:t xml:space="preserve"> allow them to focus on their debt problems.</w:t>
      </w:r>
    </w:p>
    <w:p w14:paraId="7AF4C82B" w14:textId="6536A0D4" w:rsidR="00AE6B5A" w:rsidRPr="00D41AF3" w:rsidRDefault="00AE6B5A" w:rsidP="00F63159">
      <w:pPr>
        <w:pStyle w:val="Normalnumbered"/>
        <w:rPr>
          <w:b/>
          <w:bCs/>
        </w:rPr>
      </w:pPr>
      <w:r w:rsidRPr="00D41AF3">
        <w:t>The group discussed the length of this additional period and agreed it should not be less than</w:t>
      </w:r>
      <w:r w:rsidR="007F7785">
        <w:t xml:space="preserve"> the</w:t>
      </w:r>
      <w:r w:rsidRPr="00D41AF3">
        <w:t xml:space="preserve"> </w:t>
      </w:r>
      <w:r w:rsidR="006F1F62">
        <w:t xml:space="preserve">initial </w:t>
      </w:r>
      <w:r w:rsidRPr="00D41AF3">
        <w:t>30 days</w:t>
      </w:r>
      <w:r w:rsidR="002C06E5">
        <w:t xml:space="preserve"> which is currently offered for the </w:t>
      </w:r>
      <w:r w:rsidR="00D11130">
        <w:t>MH</w:t>
      </w:r>
      <w:r w:rsidR="0047231F">
        <w:t>C</w:t>
      </w:r>
      <w:r w:rsidR="00D11130">
        <w:t>BS</w:t>
      </w:r>
      <w:r w:rsidR="002C06E5">
        <w:t xml:space="preserve"> in England and Wales</w:t>
      </w:r>
      <w:r w:rsidRPr="00D41AF3">
        <w:t xml:space="preserve">. </w:t>
      </w:r>
      <w:r w:rsidR="00E7760C" w:rsidRPr="008C43DE">
        <w:rPr>
          <w:rStyle w:val="cf01"/>
          <w:rFonts w:ascii="Arial" w:hAnsi="Arial" w:cs="Arial"/>
          <w:sz w:val="24"/>
          <w:szCs w:val="24"/>
        </w:rPr>
        <w:t xml:space="preserve">However, a total protection period of </w:t>
      </w:r>
      <w:r w:rsidR="006F1F62" w:rsidRPr="008C43DE">
        <w:rPr>
          <w:rStyle w:val="cf01"/>
          <w:rFonts w:ascii="Arial" w:hAnsi="Arial" w:cs="Arial"/>
          <w:sz w:val="24"/>
          <w:szCs w:val="24"/>
        </w:rPr>
        <w:t xml:space="preserve">60 days </w:t>
      </w:r>
      <w:r w:rsidR="00E7760C" w:rsidRPr="008C43DE">
        <w:rPr>
          <w:rStyle w:val="cf01"/>
          <w:rFonts w:ascii="Arial" w:hAnsi="Arial" w:cs="Arial"/>
          <w:sz w:val="24"/>
          <w:szCs w:val="24"/>
        </w:rPr>
        <w:t xml:space="preserve">is possible </w:t>
      </w:r>
      <w:r w:rsidR="006F1F62" w:rsidRPr="008C43DE">
        <w:rPr>
          <w:rStyle w:val="cf01"/>
          <w:rFonts w:ascii="Arial" w:hAnsi="Arial" w:cs="Arial"/>
          <w:sz w:val="24"/>
          <w:szCs w:val="24"/>
        </w:rPr>
        <w:t>(an initial 30 days that can be extended by a further 30 days if the debt adviser is continuing to develop a plan with the customer</w:t>
      </w:r>
      <w:r w:rsidR="00E7760C" w:rsidRPr="008C43DE">
        <w:rPr>
          <w:rStyle w:val="cf01"/>
          <w:rFonts w:ascii="Arial" w:hAnsi="Arial" w:cs="Arial"/>
          <w:sz w:val="24"/>
          <w:szCs w:val="24"/>
        </w:rPr>
        <w:t>)</w:t>
      </w:r>
      <w:r w:rsidR="006F1F62" w:rsidRPr="008C43DE">
        <w:rPr>
          <w:rStyle w:val="cf01"/>
          <w:rFonts w:ascii="Arial" w:hAnsi="Arial" w:cs="Arial"/>
          <w:sz w:val="24"/>
          <w:szCs w:val="24"/>
        </w:rPr>
        <w:t>.</w:t>
      </w:r>
      <w:r w:rsidR="006F1F62">
        <w:rPr>
          <w:rStyle w:val="cf01"/>
        </w:rPr>
        <w:t xml:space="preserve"> </w:t>
      </w:r>
      <w:r w:rsidRPr="00D41AF3">
        <w:t>The</w:t>
      </w:r>
      <w:r w:rsidR="00D15C5A">
        <w:t>y believe i</w:t>
      </w:r>
      <w:r w:rsidR="004207B6">
        <w:t>t</w:t>
      </w:r>
      <w:r w:rsidR="00D15C5A">
        <w:t xml:space="preserve"> should </w:t>
      </w:r>
      <w:r w:rsidRPr="00D41AF3">
        <w:t xml:space="preserve">be long enough for a person to obtain an appointment with a money adviser. Considering the money advice sector resource is currently stretched, a prescriptive time </w:t>
      </w:r>
      <w:r w:rsidR="00B257F6">
        <w:t>may</w:t>
      </w:r>
      <w:r w:rsidRPr="00D41AF3">
        <w:t xml:space="preserve"> </w:t>
      </w:r>
      <w:r w:rsidR="003622E2">
        <w:t xml:space="preserve">potentially </w:t>
      </w:r>
      <w:r w:rsidRPr="00D41AF3">
        <w:t>hinder this while overburdening the sector.</w:t>
      </w:r>
    </w:p>
    <w:p w14:paraId="2BE7967B" w14:textId="77777777" w:rsidR="00C3151B" w:rsidRDefault="00312F92" w:rsidP="00F63159">
      <w:pPr>
        <w:pStyle w:val="Normalnumbered"/>
      </w:pPr>
      <w:r>
        <w:t xml:space="preserve">The group considered automatically ‘switching’ the person from a </w:t>
      </w:r>
      <w:r w:rsidR="00DF7BC5">
        <w:t>MHM</w:t>
      </w:r>
      <w:r>
        <w:t xml:space="preserve"> into the standard moratorium</w:t>
      </w:r>
      <w:r w:rsidR="00CB23EC">
        <w:t xml:space="preserve"> on completion of their treatment, however, there were concerns that an individual </w:t>
      </w:r>
      <w:r w:rsidR="000613E4">
        <w:t>may</w:t>
      </w:r>
      <w:r w:rsidR="00CB23EC">
        <w:t xml:space="preserve"> </w:t>
      </w:r>
      <w:r w:rsidR="00A2015F">
        <w:t>return to a CTO or short</w:t>
      </w:r>
      <w:r w:rsidR="00277942">
        <w:t>-</w:t>
      </w:r>
      <w:r w:rsidR="00A2015F">
        <w:t xml:space="preserve">term detention </w:t>
      </w:r>
      <w:r w:rsidR="00542969">
        <w:t xml:space="preserve">during the additional protection period </w:t>
      </w:r>
      <w:r w:rsidR="00A2015F">
        <w:t xml:space="preserve">which would </w:t>
      </w:r>
      <w:r>
        <w:t xml:space="preserve">make the </w:t>
      </w:r>
      <w:r w:rsidR="006668F1">
        <w:t xml:space="preserve">‘switching’ between the two </w:t>
      </w:r>
      <w:r w:rsidR="00277942">
        <w:t>moratorium process</w:t>
      </w:r>
      <w:r w:rsidR="008346C2">
        <w:t>es</w:t>
      </w:r>
      <w:r>
        <w:t xml:space="preserve"> overly complicated. </w:t>
      </w:r>
      <w:r w:rsidR="00ED23E9">
        <w:t xml:space="preserve">Therefore, the </w:t>
      </w:r>
      <w:r w:rsidR="00DF7BC5">
        <w:t>MHM</w:t>
      </w:r>
      <w:r w:rsidR="00ED23E9">
        <w:t xml:space="preserve"> and the standard moratorium should remain separate.</w:t>
      </w:r>
    </w:p>
    <w:p w14:paraId="7ECF688A" w14:textId="6F672245" w:rsidR="004D6AFA" w:rsidRPr="008C43DE" w:rsidRDefault="00045F7B" w:rsidP="00F63159">
      <w:pPr>
        <w:pStyle w:val="Normalnumbered"/>
        <w:rPr>
          <w:rStyle w:val="cf01"/>
          <w:rFonts w:ascii="Arial" w:hAnsi="Arial" w:cs="Arial"/>
          <w:sz w:val="20"/>
          <w:szCs w:val="20"/>
        </w:rPr>
      </w:pPr>
      <w:r w:rsidRPr="00C3151B">
        <w:t>There</w:t>
      </w:r>
      <w:r>
        <w:t xml:space="preserve"> was a belief among some members of the group that the additional protection period should only align with the period of a standard moratorium rather than ‘switching’ to it. </w:t>
      </w:r>
      <w:r w:rsidRPr="00702EA7">
        <w:t>Given the purpose of the additional protection period is to provide the individual with time to focus specifically on their debt problems, those members consider it reasonable that this should mirror the period of time attributed to everyone who can apply for a standard moratorium</w:t>
      </w:r>
      <w:r w:rsidRPr="00C3151B">
        <w:rPr>
          <w:rFonts w:cs="Arial"/>
        </w:rPr>
        <w:t xml:space="preserve">. </w:t>
      </w:r>
      <w:r w:rsidRPr="007C2A94">
        <w:rPr>
          <w:rStyle w:val="cf01"/>
          <w:rFonts w:ascii="Arial" w:hAnsi="Arial" w:cs="Arial"/>
          <w:sz w:val="24"/>
          <w:szCs w:val="24"/>
        </w:rPr>
        <w:t xml:space="preserve">Those same members believe the protections provided during the initial ‘flexible’ period should continue into the additional ‘fixed’ period as the individual will require time to adjust following their treatment. Although the compulsory nature of their treatment may be over, their </w:t>
      </w:r>
      <w:r w:rsidRPr="007C2A94">
        <w:rPr>
          <w:rStyle w:val="cf01"/>
          <w:rFonts w:ascii="Arial" w:hAnsi="Arial" w:cs="Arial"/>
          <w:sz w:val="24"/>
          <w:szCs w:val="24"/>
        </w:rPr>
        <w:lastRenderedPageBreak/>
        <w:t xml:space="preserve">treatment may, in fact, continue and the individual may require time to adjust and </w:t>
      </w:r>
      <w:r w:rsidRPr="008C43DE">
        <w:rPr>
          <w:rStyle w:val="cf01"/>
          <w:rFonts w:ascii="Arial" w:hAnsi="Arial" w:cs="Arial"/>
          <w:sz w:val="24"/>
          <w:szCs w:val="24"/>
        </w:rPr>
        <w:t>‘find their feet.’</w:t>
      </w:r>
      <w:r w:rsidRPr="008C43DE">
        <w:rPr>
          <w:rStyle w:val="cf01"/>
        </w:rPr>
        <w:t xml:space="preserve"> </w:t>
      </w:r>
      <w:r w:rsidRPr="008C43DE">
        <w:rPr>
          <w:rStyle w:val="cf01"/>
          <w:rFonts w:ascii="Arial" w:hAnsi="Arial" w:cs="Arial"/>
          <w:sz w:val="24"/>
          <w:szCs w:val="24"/>
        </w:rPr>
        <w:t>Other members were</w:t>
      </w:r>
      <w:r w:rsidR="005F573D" w:rsidRPr="008C43DE">
        <w:rPr>
          <w:rStyle w:val="cf01"/>
          <w:rFonts w:ascii="Arial" w:hAnsi="Arial" w:cs="Arial"/>
          <w:sz w:val="24"/>
          <w:szCs w:val="24"/>
        </w:rPr>
        <w:t>,</w:t>
      </w:r>
      <w:r w:rsidRPr="008C43DE">
        <w:rPr>
          <w:rStyle w:val="cf01"/>
          <w:rFonts w:ascii="Arial" w:hAnsi="Arial" w:cs="Arial"/>
          <w:sz w:val="24"/>
          <w:szCs w:val="24"/>
        </w:rPr>
        <w:t xml:space="preserve"> however</w:t>
      </w:r>
      <w:r w:rsidR="005F573D" w:rsidRPr="008C43DE">
        <w:rPr>
          <w:rStyle w:val="cf01"/>
          <w:rFonts w:ascii="Arial" w:hAnsi="Arial" w:cs="Arial"/>
          <w:sz w:val="24"/>
          <w:szCs w:val="24"/>
        </w:rPr>
        <w:t>,</w:t>
      </w:r>
      <w:r w:rsidRPr="008C43DE">
        <w:rPr>
          <w:rStyle w:val="cf01"/>
          <w:rFonts w:ascii="Arial" w:hAnsi="Arial" w:cs="Arial"/>
          <w:sz w:val="24"/>
          <w:szCs w:val="24"/>
        </w:rPr>
        <w:t xml:space="preserve"> of the view that at the end of the MHM, the individual would be able to access a standard moratorium and benefit of the protections relevant to that legislation. This would not prevent creditors from proving additional support to the individual over and above the statutory protections afforded by the standard moratorium (such as the waiver of interest and fees)</w:t>
      </w:r>
      <w:r w:rsidRPr="008C43DE">
        <w:rPr>
          <w:rFonts w:cs="Arial"/>
        </w:rPr>
        <w:t xml:space="preserve">. </w:t>
      </w:r>
      <w:r w:rsidRPr="008C43DE">
        <w:rPr>
          <w:rStyle w:val="cf01"/>
          <w:rFonts w:ascii="Arial" w:hAnsi="Arial" w:cs="Arial"/>
          <w:sz w:val="24"/>
          <w:szCs w:val="24"/>
        </w:rPr>
        <w:t xml:space="preserve">Potentially the legislation could be changed so that anyone exiting a MHM that wants and needs to access a moratorium is not limited to </w:t>
      </w:r>
      <w:r w:rsidR="000750BF" w:rsidRPr="008C43DE">
        <w:rPr>
          <w:rStyle w:val="cf01"/>
          <w:rFonts w:ascii="Arial" w:hAnsi="Arial" w:cs="Arial"/>
          <w:sz w:val="24"/>
          <w:szCs w:val="24"/>
        </w:rPr>
        <w:t>one</w:t>
      </w:r>
      <w:r w:rsidRPr="008C43DE">
        <w:rPr>
          <w:rStyle w:val="cf01"/>
          <w:rFonts w:ascii="Arial" w:hAnsi="Arial" w:cs="Arial"/>
          <w:sz w:val="24"/>
          <w:szCs w:val="24"/>
        </w:rPr>
        <w:t xml:space="preserve"> every 12 months</w:t>
      </w:r>
      <w:r w:rsidR="000750BF" w:rsidRPr="008C43DE">
        <w:rPr>
          <w:rStyle w:val="cf01"/>
          <w:rFonts w:ascii="Arial" w:hAnsi="Arial" w:cs="Arial"/>
          <w:sz w:val="24"/>
          <w:szCs w:val="24"/>
        </w:rPr>
        <w:t>.</w:t>
      </w:r>
    </w:p>
    <w:p w14:paraId="56745A3A" w14:textId="0AC8D501" w:rsidR="00C3151B" w:rsidRPr="008C43DE" w:rsidRDefault="00312F92" w:rsidP="00F63159">
      <w:pPr>
        <w:pStyle w:val="Normalnumbered"/>
      </w:pPr>
      <w:r w:rsidRPr="008C43DE">
        <w:t xml:space="preserve">The standard moratorium protection period is </w:t>
      </w:r>
      <w:r w:rsidR="0012047A" w:rsidRPr="008C43DE">
        <w:t xml:space="preserve">currently 6 months </w:t>
      </w:r>
      <w:r w:rsidR="00246A45" w:rsidRPr="008C43DE">
        <w:t>which cause</w:t>
      </w:r>
      <w:r w:rsidR="00B116AE" w:rsidRPr="008C43DE">
        <w:t>s</w:t>
      </w:r>
      <w:r w:rsidR="00246A45" w:rsidRPr="008C43DE">
        <w:t xml:space="preserve"> some concern among other members of the group</w:t>
      </w:r>
      <w:r w:rsidRPr="008C43DE">
        <w:t>.</w:t>
      </w:r>
      <w:r w:rsidR="004D6AFA" w:rsidRPr="008C43DE">
        <w:t xml:space="preserve"> </w:t>
      </w:r>
      <w:r w:rsidR="00246A45" w:rsidRPr="008C43DE">
        <w:t>S</w:t>
      </w:r>
      <w:r w:rsidR="002520DE" w:rsidRPr="008C43DE">
        <w:t xml:space="preserve">ome believe that </w:t>
      </w:r>
      <w:r w:rsidR="004207B6" w:rsidRPr="008C43DE">
        <w:t>6</w:t>
      </w:r>
      <w:r w:rsidR="00246A45" w:rsidRPr="008C43DE">
        <w:t xml:space="preserve"> month</w:t>
      </w:r>
      <w:r w:rsidRPr="008C43DE">
        <w:t xml:space="preserve">s </w:t>
      </w:r>
      <w:r w:rsidR="00246A45" w:rsidRPr="008C43DE">
        <w:t>may</w:t>
      </w:r>
      <w:r w:rsidRPr="008C43DE">
        <w:t xml:space="preserve"> be too long and could potentially delay debt resolution. </w:t>
      </w:r>
      <w:r w:rsidR="006B1201" w:rsidRPr="008C43DE">
        <w:t xml:space="preserve">There were also concerns at </w:t>
      </w:r>
      <w:r w:rsidR="00246A45" w:rsidRPr="008C43DE">
        <w:t>such a</w:t>
      </w:r>
      <w:r w:rsidR="006B1201" w:rsidRPr="008C43DE">
        <w:t xml:space="preserve"> length of protection potentially </w:t>
      </w:r>
      <w:r w:rsidR="00B116AE" w:rsidRPr="008C43DE">
        <w:t>including the</w:t>
      </w:r>
      <w:r w:rsidR="006B1201" w:rsidRPr="008C43DE">
        <w:t xml:space="preserve"> interest and charges</w:t>
      </w:r>
      <w:r w:rsidR="000C1BA0" w:rsidRPr="008C43DE">
        <w:t xml:space="preserve"> not being required to be paid</w:t>
      </w:r>
      <w:r w:rsidR="006B1201" w:rsidRPr="008C43DE">
        <w:t>. This may have a</w:t>
      </w:r>
      <w:r w:rsidR="0047231F" w:rsidRPr="008C43DE">
        <w:t>n</w:t>
      </w:r>
      <w:r w:rsidR="006B1201" w:rsidRPr="008C43DE">
        <w:t xml:space="preserve"> </w:t>
      </w:r>
      <w:r w:rsidR="009F288C" w:rsidRPr="008C43DE">
        <w:t>undue impact on creditors</w:t>
      </w:r>
      <w:r w:rsidR="00D91AAA" w:rsidRPr="008C43DE">
        <w:t xml:space="preserve"> </w:t>
      </w:r>
      <w:r w:rsidR="00D91AAA" w:rsidRPr="008C43DE">
        <w:rPr>
          <w:rFonts w:cs="Arial"/>
        </w:rPr>
        <w:t>a</w:t>
      </w:r>
      <w:r w:rsidR="00D91AAA" w:rsidRPr="008C43DE">
        <w:rPr>
          <w:rStyle w:val="cf01"/>
          <w:rFonts w:ascii="Arial" w:hAnsi="Arial" w:cs="Arial"/>
          <w:sz w:val="24"/>
          <w:szCs w:val="24"/>
        </w:rPr>
        <w:t>nd would not incentivise an individual from seeking to resolve their financial difficulty</w:t>
      </w:r>
      <w:r w:rsidR="009F288C" w:rsidRPr="008C43DE">
        <w:rPr>
          <w:rFonts w:cs="Arial"/>
        </w:rPr>
        <w:t>.</w:t>
      </w:r>
      <w:r w:rsidR="009F288C" w:rsidRPr="008C43DE">
        <w:t xml:space="preserve"> </w:t>
      </w:r>
    </w:p>
    <w:p w14:paraId="0354B526" w14:textId="39021F08" w:rsidR="00566067" w:rsidRPr="008C43DE" w:rsidRDefault="00566067" w:rsidP="00F63159">
      <w:pPr>
        <w:pStyle w:val="Normalnumbered"/>
      </w:pPr>
      <w:r w:rsidRPr="00702EA7">
        <w:t>It was acknowledge</w:t>
      </w:r>
      <w:r w:rsidR="002712E3" w:rsidRPr="00702EA7">
        <w:t>d</w:t>
      </w:r>
      <w:r w:rsidRPr="00702EA7">
        <w:t xml:space="preserve"> that the current </w:t>
      </w:r>
      <w:r w:rsidR="0023164C" w:rsidRPr="00702EA7">
        <w:t>6</w:t>
      </w:r>
      <w:r w:rsidR="00EF3956" w:rsidRPr="00702EA7">
        <w:t xml:space="preserve"> </w:t>
      </w:r>
      <w:r w:rsidRPr="00702EA7">
        <w:t xml:space="preserve">month moratorium </w:t>
      </w:r>
      <w:r w:rsidR="00EF3956" w:rsidRPr="00702EA7">
        <w:t xml:space="preserve">was </w:t>
      </w:r>
      <w:r w:rsidR="00DA4740" w:rsidRPr="00702EA7">
        <w:t xml:space="preserve">increased from previously being </w:t>
      </w:r>
      <w:r w:rsidR="004207B6" w:rsidRPr="00702EA7">
        <w:t>6</w:t>
      </w:r>
      <w:r w:rsidR="00DA4740" w:rsidRPr="00702EA7">
        <w:t xml:space="preserve"> weeks. The increase was a policy dec</w:t>
      </w:r>
      <w:r w:rsidR="00DA4740" w:rsidRPr="00C3151B">
        <w:rPr>
          <w:rFonts w:cs="Arial"/>
        </w:rPr>
        <w:t xml:space="preserve">ision by the Scottish Government </w:t>
      </w:r>
      <w:r w:rsidR="00DF7BC5" w:rsidRPr="00C3151B">
        <w:rPr>
          <w:rFonts w:cs="Arial"/>
        </w:rPr>
        <w:t>because of</w:t>
      </w:r>
      <w:r w:rsidR="00DA4740" w:rsidRPr="00C3151B">
        <w:rPr>
          <w:rFonts w:cs="Arial"/>
        </w:rPr>
        <w:t xml:space="preserve"> the </w:t>
      </w:r>
      <w:r w:rsidR="004207B6" w:rsidRPr="00C3151B">
        <w:rPr>
          <w:rFonts w:cs="Arial"/>
        </w:rPr>
        <w:t>coronavirus</w:t>
      </w:r>
      <w:r w:rsidR="00DA4740" w:rsidRPr="00C3151B">
        <w:rPr>
          <w:rFonts w:cs="Arial"/>
        </w:rPr>
        <w:t xml:space="preserve"> pandemic and the subsequent </w:t>
      </w:r>
      <w:r w:rsidR="00DA4740" w:rsidRPr="00C3151B">
        <w:rPr>
          <w:rStyle w:val="cf01"/>
          <w:rFonts w:ascii="Arial" w:hAnsi="Arial" w:cs="Arial"/>
          <w:sz w:val="24"/>
          <w:szCs w:val="24"/>
        </w:rPr>
        <w:t>cost of living crisis</w:t>
      </w:r>
      <w:r w:rsidR="00DA4740" w:rsidRPr="00702EA7">
        <w:t xml:space="preserve"> which remains to date.</w:t>
      </w:r>
      <w:r w:rsidR="00DA4740">
        <w:t xml:space="preserve"> </w:t>
      </w:r>
      <w:r w:rsidR="00B46341">
        <w:t xml:space="preserve">It was also highlighted that this particular timescale </w:t>
      </w:r>
      <w:r w:rsidR="002712E3">
        <w:t>is</w:t>
      </w:r>
      <w:r>
        <w:t xml:space="preserve"> subject to review</w:t>
      </w:r>
      <w:r w:rsidR="00143ABF">
        <w:t xml:space="preserve"> and may reduce in the near future, however, there remained concerns from some members that the reduction in th</w:t>
      </w:r>
      <w:r w:rsidR="00BD2440">
        <w:t>is particular</w:t>
      </w:r>
      <w:r w:rsidR="00143ABF">
        <w:t xml:space="preserve"> time </w:t>
      </w:r>
      <w:r w:rsidR="00BD2440">
        <w:t xml:space="preserve">period </w:t>
      </w:r>
      <w:r w:rsidR="00143ABF">
        <w:t>was not assured.</w:t>
      </w:r>
      <w:r>
        <w:t xml:space="preserve"> </w:t>
      </w:r>
      <w:r w:rsidR="00E81E95" w:rsidRPr="007C2A94">
        <w:t xml:space="preserve">It was also </w:t>
      </w:r>
      <w:r w:rsidR="00AF54B4" w:rsidRPr="007C2A94">
        <w:t>acknowledge</w:t>
      </w:r>
      <w:r w:rsidR="007C2F5E" w:rsidRPr="007C2A94">
        <w:t>d</w:t>
      </w:r>
      <w:r w:rsidR="00AF54B4" w:rsidRPr="007C2A94">
        <w:t xml:space="preserve"> </w:t>
      </w:r>
      <w:r w:rsidR="007E3E8B" w:rsidRPr="007C2A94">
        <w:t xml:space="preserve">that </w:t>
      </w:r>
      <w:r w:rsidR="00ED0F95" w:rsidRPr="007C2A94">
        <w:t xml:space="preserve">in stage 2 of the wider review into Scotland’s statutory debt solutions </w:t>
      </w:r>
      <w:r w:rsidR="00A00D90" w:rsidRPr="007C2A94">
        <w:t xml:space="preserve">the </w:t>
      </w:r>
      <w:r w:rsidR="00DE63D9" w:rsidRPr="007C2A94">
        <w:t xml:space="preserve">most appropriate time period for a standard moratorium was considered. Although </w:t>
      </w:r>
      <w:r w:rsidR="007E3E8B" w:rsidRPr="007C2A94">
        <w:t>that review did n</w:t>
      </w:r>
      <w:r w:rsidR="00DE63D9" w:rsidRPr="007C2A94">
        <w:t xml:space="preserve">ot </w:t>
      </w:r>
      <w:r w:rsidR="007E3E8B" w:rsidRPr="007C2A94">
        <w:t xml:space="preserve">result in </w:t>
      </w:r>
      <w:r w:rsidR="00DE63D9" w:rsidRPr="007C2A94">
        <w:t xml:space="preserve">a consensus on </w:t>
      </w:r>
      <w:r w:rsidR="00923AC2" w:rsidRPr="007C2A94">
        <w:t xml:space="preserve">the </w:t>
      </w:r>
      <w:r w:rsidR="00413BAC" w:rsidRPr="007C2A94">
        <w:t>time period</w:t>
      </w:r>
      <w:r w:rsidR="00562DC9">
        <w:t>,</w:t>
      </w:r>
      <w:r w:rsidR="00413BAC" w:rsidRPr="007C2A94">
        <w:t xml:space="preserve"> there was strong support for the </w:t>
      </w:r>
      <w:r w:rsidR="00C13094" w:rsidRPr="007C2A94">
        <w:t xml:space="preserve">moratorium </w:t>
      </w:r>
      <w:r w:rsidR="00413BAC" w:rsidRPr="007C2A94">
        <w:t>period not revert</w:t>
      </w:r>
      <w:r w:rsidR="007E7933" w:rsidRPr="007C2A94">
        <w:t>ing</w:t>
      </w:r>
      <w:r w:rsidR="00413BAC" w:rsidRPr="007C2A94">
        <w:t xml:space="preserve"> </w:t>
      </w:r>
      <w:r w:rsidR="00413BAC" w:rsidRPr="008C43DE">
        <w:t xml:space="preserve">back to the original 6 weeks with </w:t>
      </w:r>
      <w:r w:rsidR="00E92763" w:rsidRPr="008C43DE">
        <w:t xml:space="preserve">those </w:t>
      </w:r>
      <w:r w:rsidR="002122C4" w:rsidRPr="008C43DE">
        <w:t>who expressed a</w:t>
      </w:r>
      <w:r w:rsidR="00E92763" w:rsidRPr="008C43DE">
        <w:t xml:space="preserve"> </w:t>
      </w:r>
      <w:r w:rsidR="00413BAC" w:rsidRPr="008C43DE">
        <w:t xml:space="preserve">preference </w:t>
      </w:r>
      <w:r w:rsidR="002122C4" w:rsidRPr="008C43DE">
        <w:t xml:space="preserve">to amend the moratorium period </w:t>
      </w:r>
      <w:r w:rsidR="00740A05" w:rsidRPr="008C43DE">
        <w:t xml:space="preserve">favouring </w:t>
      </w:r>
      <w:r w:rsidR="00413BAC" w:rsidRPr="008C43DE">
        <w:t>12 weeks.</w:t>
      </w:r>
    </w:p>
    <w:p w14:paraId="70BCC1F6" w14:textId="718299D1" w:rsidR="00166C97" w:rsidRPr="008C43DE" w:rsidRDefault="000754C5" w:rsidP="00F63159">
      <w:pPr>
        <w:pStyle w:val="Normalnumbered"/>
      </w:pPr>
      <w:r w:rsidRPr="008C43DE">
        <w:rPr>
          <w:rStyle w:val="cf01"/>
          <w:rFonts w:ascii="Arial" w:hAnsi="Arial" w:cs="Arial"/>
          <w:sz w:val="24"/>
          <w:szCs w:val="24"/>
        </w:rPr>
        <w:t xml:space="preserve">Regardless of the differing opinions on the </w:t>
      </w:r>
      <w:r w:rsidR="00E6112E" w:rsidRPr="008C43DE">
        <w:rPr>
          <w:rStyle w:val="cf01"/>
          <w:rFonts w:ascii="Arial" w:hAnsi="Arial" w:cs="Arial"/>
          <w:sz w:val="24"/>
          <w:szCs w:val="24"/>
        </w:rPr>
        <w:t>time period, t</w:t>
      </w:r>
      <w:r w:rsidR="00166C97" w:rsidRPr="008C43DE">
        <w:rPr>
          <w:rStyle w:val="cf01"/>
          <w:rFonts w:ascii="Arial" w:hAnsi="Arial" w:cs="Arial"/>
          <w:sz w:val="24"/>
          <w:szCs w:val="24"/>
        </w:rPr>
        <w:t xml:space="preserve">here was </w:t>
      </w:r>
      <w:r w:rsidR="000D537C" w:rsidRPr="008C43DE">
        <w:rPr>
          <w:rStyle w:val="cf01"/>
          <w:rFonts w:ascii="Arial" w:hAnsi="Arial" w:cs="Arial"/>
          <w:sz w:val="24"/>
          <w:szCs w:val="24"/>
        </w:rPr>
        <w:t xml:space="preserve">a </w:t>
      </w:r>
      <w:r w:rsidR="00166C97" w:rsidRPr="008C43DE">
        <w:rPr>
          <w:rStyle w:val="cf01"/>
          <w:rFonts w:ascii="Arial" w:hAnsi="Arial" w:cs="Arial"/>
          <w:sz w:val="24"/>
          <w:szCs w:val="24"/>
        </w:rPr>
        <w:t>consensus within the group that this additional ‘fixed’ protection period was for the purpose of allowing the individual to deal with their debts and whichever time frame is chosen, it should reflect that purpose</w:t>
      </w:r>
      <w:r w:rsidR="00900991" w:rsidRPr="008C43DE">
        <w:rPr>
          <w:rStyle w:val="cf01"/>
          <w:rFonts w:ascii="Arial" w:hAnsi="Arial" w:cs="Arial"/>
          <w:sz w:val="24"/>
          <w:szCs w:val="24"/>
        </w:rPr>
        <w:t>.</w:t>
      </w:r>
    </w:p>
    <w:p w14:paraId="3C71B2B0" w14:textId="5ECB3420" w:rsidR="00CA630C" w:rsidRPr="008C43DE" w:rsidRDefault="000F3734" w:rsidP="00F63159">
      <w:pPr>
        <w:pStyle w:val="Normalnumbered"/>
      </w:pPr>
      <w:r w:rsidRPr="008C43DE">
        <w:lastRenderedPageBreak/>
        <w:t xml:space="preserve">The group also considered the interaction between the </w:t>
      </w:r>
      <w:r w:rsidR="009B78CB" w:rsidRPr="008C43DE">
        <w:t>MHM</w:t>
      </w:r>
      <w:r w:rsidRPr="008C43DE">
        <w:t xml:space="preserve"> </w:t>
      </w:r>
      <w:r w:rsidR="00065021" w:rsidRPr="008C43DE">
        <w:t xml:space="preserve">and </w:t>
      </w:r>
      <w:r w:rsidRPr="008C43DE">
        <w:t xml:space="preserve">the standard moratorium. </w:t>
      </w:r>
      <w:r w:rsidR="00651B74" w:rsidRPr="008C43DE">
        <w:t>As the group believe each of these moratoria should be distinct from one another</w:t>
      </w:r>
      <w:r w:rsidR="007E7933" w:rsidRPr="008C43DE">
        <w:t xml:space="preserve"> they</w:t>
      </w:r>
      <w:r w:rsidR="00B306DF" w:rsidRPr="008C43DE">
        <w:t xml:space="preserve"> believe a </w:t>
      </w:r>
      <w:r w:rsidR="00DF7BC5" w:rsidRPr="008C43DE">
        <w:t>MHM</w:t>
      </w:r>
      <w:r w:rsidR="00B306DF" w:rsidRPr="008C43DE">
        <w:t xml:space="preserve"> would supersede </w:t>
      </w:r>
      <w:r w:rsidR="00A901CC" w:rsidRPr="008C43DE">
        <w:t>a standard moratorium</w:t>
      </w:r>
      <w:r w:rsidR="00701622" w:rsidRPr="008C43DE">
        <w:t xml:space="preserve"> i</w:t>
      </w:r>
      <w:r w:rsidR="00C806C4">
        <w:t>f</w:t>
      </w:r>
      <w:r w:rsidR="00701622" w:rsidRPr="008C43DE">
        <w:t xml:space="preserve"> one were in place.</w:t>
      </w:r>
      <w:r w:rsidR="00A901CC" w:rsidRPr="008C43DE">
        <w:t xml:space="preserve"> </w:t>
      </w:r>
      <w:r w:rsidR="00B6139B" w:rsidRPr="008C43DE">
        <w:t xml:space="preserve">Further to this point, the group did not believe there should be the same limitations to a </w:t>
      </w:r>
      <w:r w:rsidR="00FF0953" w:rsidRPr="008C43DE">
        <w:t>MHM as there is with a standard moratorium</w:t>
      </w:r>
      <w:r w:rsidR="00AE2F72" w:rsidRPr="008C43DE">
        <w:t xml:space="preserve">. Similar to the approach for the MHCBS, the group believe an individual </w:t>
      </w:r>
      <w:r w:rsidR="009B78CB" w:rsidRPr="008C43DE">
        <w:t xml:space="preserve">who meets the appropriate criteria </w:t>
      </w:r>
      <w:r w:rsidR="00AE2F72" w:rsidRPr="008C43DE">
        <w:t xml:space="preserve">should be entitled to apply </w:t>
      </w:r>
      <w:r w:rsidR="004D0BBB" w:rsidRPr="008C43DE">
        <w:t xml:space="preserve">for a MHM </w:t>
      </w:r>
      <w:r w:rsidR="00AE2F72" w:rsidRPr="008C43DE">
        <w:t>multiple times</w:t>
      </w:r>
      <w:r w:rsidR="00513033" w:rsidRPr="008C43DE">
        <w:t xml:space="preserve"> in a 12 month period.</w:t>
      </w:r>
    </w:p>
    <w:p w14:paraId="2B5B479F" w14:textId="3869F088" w:rsidR="005F2797" w:rsidRPr="008C43DE" w:rsidRDefault="005F2797" w:rsidP="005F3B2F">
      <w:pPr>
        <w:pStyle w:val="Heading3"/>
      </w:pPr>
      <w:r w:rsidRPr="008C43DE">
        <w:rPr>
          <w:rFonts w:eastAsia="Arial"/>
        </w:rPr>
        <w:t>Recommendation</w:t>
      </w:r>
      <w:r w:rsidR="005F3B2F" w:rsidRPr="008C43DE">
        <w:rPr>
          <w:rFonts w:eastAsia="Arial"/>
        </w:rPr>
        <w:t>s</w:t>
      </w:r>
    </w:p>
    <w:p w14:paraId="6E677FB8" w14:textId="174B9450" w:rsidR="00143ABF" w:rsidRPr="008C43DE" w:rsidRDefault="007E1DC0" w:rsidP="00D70313">
      <w:pPr>
        <w:pStyle w:val="bulletsafter18"/>
      </w:pPr>
      <w:r w:rsidRPr="008C43DE">
        <w:rPr>
          <w:b/>
        </w:rPr>
        <w:t>Recommendation</w:t>
      </w:r>
      <w:r w:rsidRPr="008C43DE">
        <w:t xml:space="preserve"> </w:t>
      </w:r>
      <w:r w:rsidR="00CA6D61" w:rsidRPr="008C43DE">
        <w:rPr>
          <w:b/>
        </w:rPr>
        <w:t>4</w:t>
      </w:r>
      <w:r w:rsidRPr="008C43DE">
        <w:t xml:space="preserve"> - </w:t>
      </w:r>
      <w:r w:rsidR="005F2797" w:rsidRPr="008C43DE">
        <w:t xml:space="preserve">The group recommends </w:t>
      </w:r>
      <w:r w:rsidR="00BC1DC0" w:rsidRPr="008C43DE">
        <w:t>that the</w:t>
      </w:r>
      <w:r w:rsidR="008E629C" w:rsidRPr="008C43DE">
        <w:t xml:space="preserve"> length of a </w:t>
      </w:r>
      <w:r w:rsidR="00DF7BC5" w:rsidRPr="008C43DE">
        <w:t>MHM</w:t>
      </w:r>
      <w:r w:rsidR="008E629C" w:rsidRPr="008C43DE">
        <w:t xml:space="preserve"> should </w:t>
      </w:r>
      <w:r w:rsidR="006F33B9" w:rsidRPr="008C43DE">
        <w:t xml:space="preserve">be split into two separate </w:t>
      </w:r>
      <w:r w:rsidR="008E629C" w:rsidRPr="008C43DE">
        <w:t xml:space="preserve">but continuous </w:t>
      </w:r>
      <w:r w:rsidR="006F33B9" w:rsidRPr="008C43DE">
        <w:t>time period</w:t>
      </w:r>
      <w:r w:rsidR="00264431" w:rsidRPr="008C43DE">
        <w:t>s</w:t>
      </w:r>
      <w:r w:rsidR="005F2797" w:rsidRPr="008C43DE">
        <w:t>.</w:t>
      </w:r>
      <w:r w:rsidR="006F33B9" w:rsidRPr="008C43DE">
        <w:t xml:space="preserve"> The first period would be flexible and align to the period of time the individual is receiving </w:t>
      </w:r>
      <w:r w:rsidR="00562571" w:rsidRPr="008C43DE">
        <w:t xml:space="preserve">a </w:t>
      </w:r>
      <w:r w:rsidR="000C51EB" w:rsidRPr="008C43DE">
        <w:t xml:space="preserve">compulsory aspect </w:t>
      </w:r>
      <w:r w:rsidR="00562571" w:rsidRPr="008C43DE">
        <w:t xml:space="preserve">to their </w:t>
      </w:r>
      <w:r w:rsidR="006F33B9" w:rsidRPr="008C43DE">
        <w:t xml:space="preserve">treatment. </w:t>
      </w:r>
      <w:r w:rsidR="00EE0E3E" w:rsidRPr="008C43DE">
        <w:t>Th</w:t>
      </w:r>
      <w:r w:rsidR="00BD2440" w:rsidRPr="008C43DE">
        <w:t>e purpose of this</w:t>
      </w:r>
      <w:r w:rsidR="00EE0E3E" w:rsidRPr="008C43DE">
        <w:t xml:space="preserve"> </w:t>
      </w:r>
      <w:r w:rsidR="00BD2440" w:rsidRPr="008C43DE">
        <w:t xml:space="preserve">protection </w:t>
      </w:r>
      <w:r w:rsidR="00EE0E3E" w:rsidRPr="008C43DE">
        <w:t xml:space="preserve">period </w:t>
      </w:r>
      <w:r w:rsidR="00BD2440" w:rsidRPr="008C43DE">
        <w:t>is</w:t>
      </w:r>
      <w:r w:rsidR="00EE0E3E" w:rsidRPr="008C43DE">
        <w:t xml:space="preserve"> specifically for the individual to focus on their mental health issues. </w:t>
      </w:r>
    </w:p>
    <w:p w14:paraId="10727FF7" w14:textId="5580B940" w:rsidR="00544291" w:rsidRPr="00304CC6" w:rsidRDefault="00EC5EEF" w:rsidP="00D70313">
      <w:pPr>
        <w:pStyle w:val="bulletsafter18"/>
      </w:pPr>
      <w:r w:rsidRPr="008C43DE">
        <w:rPr>
          <w:b/>
          <w:bCs/>
        </w:rPr>
        <w:t xml:space="preserve">Recommendation 5 </w:t>
      </w:r>
      <w:r w:rsidRPr="008C43DE">
        <w:t xml:space="preserve">- The group recommends the </w:t>
      </w:r>
      <w:r w:rsidR="00EE0E3E" w:rsidRPr="008C43DE">
        <w:t>second period of protection commence</w:t>
      </w:r>
      <w:r w:rsidRPr="008C43DE">
        <w:t>s</w:t>
      </w:r>
      <w:r w:rsidR="00EE0E3E" w:rsidRPr="008C43DE">
        <w:t xml:space="preserve"> </w:t>
      </w:r>
      <w:r w:rsidRPr="008C43DE">
        <w:t>on completion of</w:t>
      </w:r>
      <w:r w:rsidR="00EE0E3E" w:rsidRPr="008C43DE">
        <w:t xml:space="preserve"> the </w:t>
      </w:r>
      <w:r w:rsidR="00562571" w:rsidRPr="008C43DE">
        <w:t xml:space="preserve">compulsory aspect of the </w:t>
      </w:r>
      <w:r w:rsidRPr="008C43DE">
        <w:t xml:space="preserve">individual’s </w:t>
      </w:r>
      <w:r w:rsidR="00EE0E3E" w:rsidRPr="008C43DE">
        <w:t xml:space="preserve">treatment. </w:t>
      </w:r>
      <w:r w:rsidR="00DF6995" w:rsidRPr="008C43DE">
        <w:t>The</w:t>
      </w:r>
      <w:r w:rsidR="00C747A9" w:rsidRPr="008C43DE">
        <w:t>y agreed that the</w:t>
      </w:r>
      <w:r w:rsidR="00DF6995" w:rsidRPr="008C43DE">
        <w:t xml:space="preserve"> purpose of this protection period</w:t>
      </w:r>
      <w:r w:rsidR="00DF6995">
        <w:t xml:space="preserve"> is for the individual to focus on dealing with their debt problems and </w:t>
      </w:r>
      <w:r w:rsidR="00C747A9">
        <w:t>sh</w:t>
      </w:r>
      <w:r w:rsidR="00EE0E3E">
        <w:t>ould be for a fixed period of time</w:t>
      </w:r>
      <w:r w:rsidR="005A09C8">
        <w:t xml:space="preserve">. </w:t>
      </w:r>
      <w:r w:rsidR="00761BD2">
        <w:t>However, t</w:t>
      </w:r>
      <w:r w:rsidR="005A09C8">
        <w:t xml:space="preserve">here was not a consensus from the group on </w:t>
      </w:r>
      <w:r w:rsidR="00717FE2">
        <w:t>what that time period should be</w:t>
      </w:r>
      <w:r w:rsidR="00D817E1">
        <w:t>. The majorit</w:t>
      </w:r>
      <w:r w:rsidR="006072A7">
        <w:t xml:space="preserve">y of the group believe it should align to the </w:t>
      </w:r>
      <w:r w:rsidR="00975D19">
        <w:t xml:space="preserve">timescale of a </w:t>
      </w:r>
      <w:r w:rsidR="006072A7">
        <w:t>standard moratorium</w:t>
      </w:r>
      <w:r w:rsidR="00975D19">
        <w:t>.</w:t>
      </w:r>
      <w:r w:rsidR="006072A7">
        <w:t xml:space="preserve"> </w:t>
      </w:r>
      <w:r w:rsidR="00975D19">
        <w:t>Other members had concerns to this approach</w:t>
      </w:r>
      <w:r w:rsidR="00C323E3">
        <w:t xml:space="preserve"> </w:t>
      </w:r>
      <w:r w:rsidR="00475969">
        <w:t>as</w:t>
      </w:r>
      <w:r w:rsidR="00C323E3">
        <w:t xml:space="preserve"> the current standard moratorium</w:t>
      </w:r>
      <w:r w:rsidR="00304CC6">
        <w:t xml:space="preserve"> </w:t>
      </w:r>
      <w:r w:rsidR="00475969">
        <w:t>is</w:t>
      </w:r>
      <w:r w:rsidR="00304CC6">
        <w:t xml:space="preserve"> 6 months.</w:t>
      </w:r>
      <w:r w:rsidR="00EE0E3E">
        <w:t xml:space="preserve"> </w:t>
      </w:r>
    </w:p>
    <w:p w14:paraId="02DB5E3D" w14:textId="160A7079" w:rsidR="005F2797" w:rsidRPr="00544291" w:rsidRDefault="007F2606" w:rsidP="005F3B2F">
      <w:pPr>
        <w:pStyle w:val="Heading2"/>
      </w:pPr>
      <w:bookmarkStart w:id="23" w:name="_Toc135390767"/>
      <w:bookmarkStart w:id="24" w:name="_Toc137650313"/>
      <w:bookmarkStart w:id="25" w:name="_Toc142992104"/>
      <w:r>
        <w:rPr>
          <w:rFonts w:eastAsia="Arial"/>
        </w:rPr>
        <w:t>Levels</w:t>
      </w:r>
      <w:r w:rsidR="00C961A1">
        <w:rPr>
          <w:rFonts w:eastAsia="Arial"/>
        </w:rPr>
        <w:t xml:space="preserve"> of protection</w:t>
      </w:r>
      <w:bookmarkEnd w:id="23"/>
      <w:bookmarkEnd w:id="24"/>
      <w:bookmarkEnd w:id="25"/>
    </w:p>
    <w:p w14:paraId="4F1B65EF" w14:textId="047FB72C" w:rsidR="00A07143" w:rsidRPr="00A07143" w:rsidRDefault="00744F23" w:rsidP="005F3B2F">
      <w:pPr>
        <w:pStyle w:val="Heading3"/>
      </w:pPr>
      <w:r w:rsidRPr="008E2E0E">
        <w:rPr>
          <w:rFonts w:eastAsia="Arial"/>
        </w:rPr>
        <w:t>Discussion</w:t>
      </w:r>
      <w:r w:rsidRPr="004C2962">
        <w:rPr>
          <w:rFonts w:eastAsia="Arial"/>
        </w:rPr>
        <w:t xml:space="preserve"> </w:t>
      </w:r>
    </w:p>
    <w:p w14:paraId="35FB0CB2" w14:textId="76479522" w:rsidR="00B31322" w:rsidRPr="008C43DE" w:rsidRDefault="00B31322" w:rsidP="00F63159">
      <w:pPr>
        <w:pStyle w:val="Normalnumbered"/>
      </w:pPr>
      <w:r w:rsidRPr="008C43DE">
        <w:t>From the outset</w:t>
      </w:r>
      <w:r w:rsidR="00610454" w:rsidRPr="008C43DE">
        <w:t>,</w:t>
      </w:r>
      <w:r w:rsidRPr="008C43DE">
        <w:t xml:space="preserve"> the group were clear that any protections provided </w:t>
      </w:r>
      <w:r w:rsidR="00AF7CDE" w:rsidRPr="008C43DE">
        <w:t xml:space="preserve">by the </w:t>
      </w:r>
      <w:r w:rsidR="0008237C" w:rsidRPr="008C43DE">
        <w:t>MHM</w:t>
      </w:r>
      <w:r w:rsidRPr="008C43DE">
        <w:t xml:space="preserve"> </w:t>
      </w:r>
      <w:r w:rsidR="00DE5CAE" w:rsidRPr="008C43DE">
        <w:t>sh</w:t>
      </w:r>
      <w:r w:rsidRPr="008C43DE">
        <w:t xml:space="preserve">ould only apply to debts incurred prior to the moratorium application. </w:t>
      </w:r>
      <w:r w:rsidR="00A1211F" w:rsidRPr="008C43DE">
        <w:t xml:space="preserve">These debts should be </w:t>
      </w:r>
      <w:r w:rsidR="00611825" w:rsidRPr="008C43DE">
        <w:t xml:space="preserve">similar to those in a standard moratorium (such as unsecured debts not incurred through fraud etc and </w:t>
      </w:r>
      <w:r w:rsidR="005E3A11" w:rsidRPr="008C43DE">
        <w:t xml:space="preserve">only arrears on a secured debt). </w:t>
      </w:r>
      <w:r w:rsidRPr="008C43DE">
        <w:rPr>
          <w:rFonts w:eastAsia="Times New Roman"/>
          <w:color w:val="0B0C0C"/>
        </w:rPr>
        <w:t xml:space="preserve">Ongoing liabilities, such as rent and council tax, </w:t>
      </w:r>
      <w:r w:rsidR="00F57B67" w:rsidRPr="008C43DE">
        <w:rPr>
          <w:rFonts w:eastAsia="Times New Roman"/>
          <w:color w:val="0B0C0C"/>
        </w:rPr>
        <w:t>should</w:t>
      </w:r>
      <w:r w:rsidRPr="008C43DE">
        <w:rPr>
          <w:rFonts w:eastAsia="Times New Roman"/>
          <w:color w:val="0B0C0C"/>
        </w:rPr>
        <w:t xml:space="preserve"> continue to be </w:t>
      </w:r>
      <w:r w:rsidR="00F57B67" w:rsidRPr="008C43DE">
        <w:rPr>
          <w:rFonts w:eastAsia="Times New Roman"/>
          <w:color w:val="0B0C0C"/>
        </w:rPr>
        <w:t>paid</w:t>
      </w:r>
      <w:r w:rsidRPr="008C43DE">
        <w:rPr>
          <w:rFonts w:eastAsia="Times New Roman"/>
          <w:color w:val="0B0C0C"/>
        </w:rPr>
        <w:t xml:space="preserve"> </w:t>
      </w:r>
      <w:r w:rsidR="00F57B67" w:rsidRPr="008C43DE">
        <w:rPr>
          <w:rFonts w:eastAsia="Times New Roman"/>
          <w:color w:val="0B0C0C"/>
        </w:rPr>
        <w:t>by the individual as</w:t>
      </w:r>
      <w:r w:rsidRPr="008C43DE">
        <w:rPr>
          <w:rFonts w:eastAsia="Times New Roman"/>
          <w:color w:val="0B0C0C"/>
        </w:rPr>
        <w:t xml:space="preserve"> the protections </w:t>
      </w:r>
      <w:r w:rsidR="00DE5CAE" w:rsidRPr="008C43DE">
        <w:rPr>
          <w:rFonts w:eastAsia="Times New Roman"/>
          <w:color w:val="0B0C0C"/>
        </w:rPr>
        <w:t>in</w:t>
      </w:r>
      <w:r w:rsidRPr="008C43DE">
        <w:rPr>
          <w:rFonts w:eastAsia="Times New Roman"/>
          <w:color w:val="0B0C0C"/>
        </w:rPr>
        <w:t xml:space="preserve"> the </w:t>
      </w:r>
      <w:r w:rsidR="00067424" w:rsidRPr="008C43DE">
        <w:rPr>
          <w:rFonts w:eastAsia="Times New Roman"/>
          <w:color w:val="0B0C0C"/>
        </w:rPr>
        <w:t>MHM</w:t>
      </w:r>
      <w:r w:rsidRPr="008C43DE">
        <w:rPr>
          <w:rFonts w:eastAsia="Times New Roman"/>
          <w:color w:val="0B0C0C"/>
        </w:rPr>
        <w:t xml:space="preserve"> </w:t>
      </w:r>
      <w:r w:rsidR="00223C32" w:rsidRPr="008C43DE">
        <w:rPr>
          <w:rFonts w:eastAsia="Times New Roman"/>
          <w:color w:val="0B0C0C"/>
        </w:rPr>
        <w:t>should</w:t>
      </w:r>
      <w:r w:rsidRPr="008C43DE">
        <w:rPr>
          <w:rFonts w:eastAsia="Times New Roman"/>
          <w:color w:val="0B0C0C"/>
        </w:rPr>
        <w:t xml:space="preserve"> not appl</w:t>
      </w:r>
      <w:r w:rsidR="00223C32" w:rsidRPr="008C43DE">
        <w:rPr>
          <w:rFonts w:eastAsia="Times New Roman"/>
          <w:color w:val="0B0C0C"/>
        </w:rPr>
        <w:t>y</w:t>
      </w:r>
      <w:r w:rsidRPr="008C43DE">
        <w:rPr>
          <w:rFonts w:eastAsia="Times New Roman"/>
          <w:color w:val="0B0C0C"/>
        </w:rPr>
        <w:t xml:space="preserve"> to ongoing liabilities.</w:t>
      </w:r>
      <w:r w:rsidRPr="008C43DE">
        <w:t xml:space="preserve"> </w:t>
      </w:r>
    </w:p>
    <w:p w14:paraId="71A5595D" w14:textId="29B48072" w:rsidR="004A53F1" w:rsidRDefault="00A07143" w:rsidP="00F63159">
      <w:pPr>
        <w:pStyle w:val="Normalnumbered"/>
      </w:pPr>
      <w:r w:rsidRPr="008C43DE">
        <w:lastRenderedPageBreak/>
        <w:t xml:space="preserve">The group </w:t>
      </w:r>
      <w:r w:rsidR="005D3747" w:rsidRPr="008C43DE">
        <w:t xml:space="preserve">considered the current standard moratorium in Scotland as a </w:t>
      </w:r>
      <w:r w:rsidR="001E4EB6" w:rsidRPr="008C43DE">
        <w:t xml:space="preserve">sound base from which to build additional protections which may apply in a </w:t>
      </w:r>
      <w:r w:rsidR="00DF7BC5" w:rsidRPr="008C43DE">
        <w:t>MHM</w:t>
      </w:r>
      <w:r w:rsidR="001E4EB6" w:rsidRPr="008C43DE">
        <w:t>.</w:t>
      </w:r>
      <w:r w:rsidR="001E4EB6">
        <w:t xml:space="preserve"> Therefore, a starting point </w:t>
      </w:r>
      <w:r w:rsidR="00254EEE">
        <w:t xml:space="preserve">for the protections in a </w:t>
      </w:r>
      <w:r w:rsidR="00DF7BC5">
        <w:t>MHM</w:t>
      </w:r>
      <w:r w:rsidR="00254EEE">
        <w:t xml:space="preserve"> </w:t>
      </w:r>
      <w:r w:rsidR="001E4EB6">
        <w:t xml:space="preserve">would </w:t>
      </w:r>
      <w:r w:rsidR="00BF71AA">
        <w:t xml:space="preserve">be to </w:t>
      </w:r>
      <w:r w:rsidR="001E4EB6">
        <w:t>prevent diligence from commencing</w:t>
      </w:r>
      <w:r w:rsidR="00D42B96">
        <w:t xml:space="preserve">, on </w:t>
      </w:r>
      <w:r w:rsidR="00BF71AA">
        <w:t xml:space="preserve">a </w:t>
      </w:r>
      <w:r w:rsidR="00D42B96">
        <w:t>par with the standard moratorium</w:t>
      </w:r>
      <w:r w:rsidR="00254EEE">
        <w:t xml:space="preserve">. </w:t>
      </w:r>
      <w:r w:rsidR="00220297">
        <w:t>The group highlighted potential issues with diligence</w:t>
      </w:r>
      <w:r w:rsidR="00FF667B">
        <w:t>s</w:t>
      </w:r>
      <w:r w:rsidR="00220297">
        <w:t xml:space="preserve"> which ha</w:t>
      </w:r>
      <w:r w:rsidR="00FF667B">
        <w:t>ve</w:t>
      </w:r>
      <w:r w:rsidR="00220297">
        <w:t xml:space="preserve"> commenced </w:t>
      </w:r>
      <w:r w:rsidR="00040D6B">
        <w:t xml:space="preserve">prior to the moratorium </w:t>
      </w:r>
      <w:r w:rsidR="00FF667B">
        <w:t>and</w:t>
      </w:r>
      <w:r w:rsidR="00D42B96">
        <w:t xml:space="preserve"> continue</w:t>
      </w:r>
      <w:r w:rsidR="00FF667B">
        <w:t xml:space="preserve"> during the moratorium period</w:t>
      </w:r>
      <w:r w:rsidR="00D42B96">
        <w:t xml:space="preserve">. One </w:t>
      </w:r>
      <w:r w:rsidR="004A7A04">
        <w:t xml:space="preserve">scenario presented was </w:t>
      </w:r>
      <w:r w:rsidR="00FF667B">
        <w:t>the potential</w:t>
      </w:r>
      <w:r w:rsidR="004207B6">
        <w:t xml:space="preserve"> award of</w:t>
      </w:r>
      <w:r w:rsidR="00FF667B">
        <w:t xml:space="preserve"> </w:t>
      </w:r>
      <w:r w:rsidR="007F3324">
        <w:t xml:space="preserve">a creditor petition bankruptcy while the </w:t>
      </w:r>
      <w:r w:rsidR="004A7A04">
        <w:t xml:space="preserve">individual </w:t>
      </w:r>
      <w:r w:rsidR="007F3324">
        <w:t xml:space="preserve">was </w:t>
      </w:r>
      <w:r w:rsidR="004A7A04">
        <w:t xml:space="preserve">on a CTO or short-term detention. Therefore, the group </w:t>
      </w:r>
      <w:r w:rsidR="00C122B1">
        <w:t xml:space="preserve">considered whether </w:t>
      </w:r>
      <w:r w:rsidR="004E17E9">
        <w:t xml:space="preserve">a </w:t>
      </w:r>
      <w:r w:rsidR="00CE4B43">
        <w:t xml:space="preserve">diligence which has commenced </w:t>
      </w:r>
      <w:r w:rsidR="004E17E9">
        <w:t xml:space="preserve">prior to the </w:t>
      </w:r>
      <w:r w:rsidR="00DF7BC5">
        <w:t>MHM</w:t>
      </w:r>
      <w:r w:rsidR="004E17E9">
        <w:t xml:space="preserve"> </w:t>
      </w:r>
      <w:r w:rsidR="00CE4B43">
        <w:t>should also be prevented from continuing.</w:t>
      </w:r>
      <w:r w:rsidR="001E4EB6">
        <w:t xml:space="preserve"> </w:t>
      </w:r>
    </w:p>
    <w:p w14:paraId="4E0225E7" w14:textId="3690BC57" w:rsidR="00246D1B" w:rsidRDefault="00B272C2" w:rsidP="00F63159">
      <w:pPr>
        <w:pStyle w:val="Normalnumbered"/>
      </w:pPr>
      <w:r>
        <w:t xml:space="preserve">The group </w:t>
      </w:r>
      <w:r w:rsidR="00282C48">
        <w:t xml:space="preserve">discussed the protections </w:t>
      </w:r>
      <w:r w:rsidR="005D3747">
        <w:t xml:space="preserve">provided </w:t>
      </w:r>
      <w:r>
        <w:t>in</w:t>
      </w:r>
      <w:r w:rsidR="005D3747">
        <w:t xml:space="preserve"> the MH</w:t>
      </w:r>
      <w:r w:rsidR="0047231F">
        <w:t>C</w:t>
      </w:r>
      <w:r w:rsidR="005D3747">
        <w:t xml:space="preserve">BS and whether </w:t>
      </w:r>
      <w:r w:rsidR="00E2491F">
        <w:t xml:space="preserve">preventing diligence from continuing was </w:t>
      </w:r>
      <w:r w:rsidR="00B703ED">
        <w:t xml:space="preserve">one of those protections. It was highlighted that a court order </w:t>
      </w:r>
      <w:r w:rsidR="0082153F">
        <w:t>may</w:t>
      </w:r>
      <w:r w:rsidR="00B703ED">
        <w:t xml:space="preserve"> tend to overrule protections provided by </w:t>
      </w:r>
      <w:r w:rsidR="0082153F">
        <w:t>MHCBS. Therefore, there was uncertainty as to whet</w:t>
      </w:r>
      <w:r w:rsidR="00AF607B">
        <w:t xml:space="preserve">her a moratorium in Scotland could </w:t>
      </w:r>
      <w:r w:rsidR="00246D1B">
        <w:t>supersede</w:t>
      </w:r>
      <w:r w:rsidR="00AF607B">
        <w:t xml:space="preserve"> an order granted by a sheriff such as a wages arrestment or an eviction.</w:t>
      </w:r>
      <w:r w:rsidR="0082153F">
        <w:t xml:space="preserve"> </w:t>
      </w:r>
    </w:p>
    <w:p w14:paraId="692271C4" w14:textId="4AEEA604" w:rsidR="00A07143" w:rsidRPr="008C43DE" w:rsidRDefault="00F10F1C" w:rsidP="00F63159">
      <w:pPr>
        <w:pStyle w:val="Normalnumbered"/>
      </w:pPr>
      <w:r w:rsidRPr="008C43DE">
        <w:t>The group considered other pr</w:t>
      </w:r>
      <w:r w:rsidR="005F1431" w:rsidRPr="008C43DE">
        <w:t>otections provided in the MHCBS and whether</w:t>
      </w:r>
      <w:r w:rsidR="005D3747" w:rsidRPr="008C43DE">
        <w:t xml:space="preserve"> </w:t>
      </w:r>
      <w:r w:rsidR="005F1431" w:rsidRPr="008C43DE">
        <w:t xml:space="preserve">they </w:t>
      </w:r>
      <w:r w:rsidR="005D3747" w:rsidRPr="008C43DE">
        <w:t xml:space="preserve">should be replicated in a Scottish </w:t>
      </w:r>
      <w:r w:rsidR="00DF7BC5" w:rsidRPr="008C43DE">
        <w:t>MHM</w:t>
      </w:r>
      <w:r w:rsidR="005D3747" w:rsidRPr="008C43DE">
        <w:t>.</w:t>
      </w:r>
      <w:r w:rsidR="000430A6" w:rsidRPr="008C43DE">
        <w:t xml:space="preserve"> Some members believe that </w:t>
      </w:r>
      <w:r w:rsidR="00A07143" w:rsidRPr="008C43DE">
        <w:t xml:space="preserve">interest and charges </w:t>
      </w:r>
      <w:r w:rsidR="000430A6" w:rsidRPr="008C43DE">
        <w:t xml:space="preserve">on </w:t>
      </w:r>
      <w:r w:rsidR="00C435CE" w:rsidRPr="008C43DE">
        <w:t xml:space="preserve">qualifying </w:t>
      </w:r>
      <w:r w:rsidR="000430A6" w:rsidRPr="008C43DE">
        <w:t>debts incurred prior to the moratorium</w:t>
      </w:r>
      <w:r w:rsidR="009A530B" w:rsidRPr="008C43DE">
        <w:t xml:space="preserve"> not requiring to be paid</w:t>
      </w:r>
      <w:r w:rsidR="000430A6" w:rsidRPr="008C43DE">
        <w:t xml:space="preserve"> is essential</w:t>
      </w:r>
      <w:r w:rsidR="00A07143" w:rsidRPr="008C43DE">
        <w:t xml:space="preserve">. </w:t>
      </w:r>
      <w:r w:rsidR="0074124C" w:rsidRPr="008C43DE">
        <w:t>As there</w:t>
      </w:r>
      <w:r w:rsidR="00A07143" w:rsidRPr="008C43DE">
        <w:t xml:space="preserve"> is the potential for a person to be in a </w:t>
      </w:r>
      <w:r w:rsidR="00DF7BC5" w:rsidRPr="008C43DE">
        <w:t>MHM</w:t>
      </w:r>
      <w:r w:rsidR="00A07143" w:rsidRPr="008C43DE">
        <w:t xml:space="preserve"> for a prolonged period of time, </w:t>
      </w:r>
      <w:r w:rsidR="0074124C" w:rsidRPr="008C43DE">
        <w:t>they believe</w:t>
      </w:r>
      <w:r w:rsidR="00A07143" w:rsidRPr="008C43DE">
        <w:t xml:space="preserve"> it is important that their debt is not worsen</w:t>
      </w:r>
      <w:r w:rsidR="0074124C" w:rsidRPr="008C43DE">
        <w:t>ed</w:t>
      </w:r>
      <w:r w:rsidR="00A07143" w:rsidRPr="008C43DE">
        <w:t xml:space="preserve">. Additionally, the stress of interest and charges could prohibit </w:t>
      </w:r>
      <w:r w:rsidR="006A0DE9" w:rsidRPr="008C43DE">
        <w:t>or hinder the individual’s</w:t>
      </w:r>
      <w:r w:rsidR="00A07143" w:rsidRPr="008C43DE">
        <w:t xml:space="preserve"> recovery.</w:t>
      </w:r>
      <w:r w:rsidR="006D02E1" w:rsidRPr="008C43DE">
        <w:t xml:space="preserve"> As stated previously</w:t>
      </w:r>
      <w:r w:rsidR="002E387A" w:rsidRPr="008C43DE">
        <w:t>,</w:t>
      </w:r>
      <w:r w:rsidR="006D02E1" w:rsidRPr="008C43DE">
        <w:t xml:space="preserve"> there </w:t>
      </w:r>
      <w:r w:rsidR="002E387A" w:rsidRPr="008C43DE">
        <w:t>were</w:t>
      </w:r>
      <w:r w:rsidR="006D02E1" w:rsidRPr="008C43DE">
        <w:t xml:space="preserve"> concerns raised </w:t>
      </w:r>
      <w:r w:rsidR="00D04355" w:rsidRPr="008C43DE">
        <w:t xml:space="preserve">by some </w:t>
      </w:r>
      <w:r w:rsidR="004207B6" w:rsidRPr="008C43DE">
        <w:t xml:space="preserve">of </w:t>
      </w:r>
      <w:r w:rsidR="006D02E1" w:rsidRPr="008C43DE">
        <w:t>the group</w:t>
      </w:r>
      <w:r w:rsidR="002E387A" w:rsidRPr="008C43DE">
        <w:t xml:space="preserve"> about</w:t>
      </w:r>
      <w:r w:rsidR="006D02E1" w:rsidRPr="008C43DE">
        <w:t xml:space="preserve"> the additional protection period </w:t>
      </w:r>
      <w:r w:rsidR="002E387A" w:rsidRPr="008C43DE">
        <w:t>of</w:t>
      </w:r>
      <w:r w:rsidR="006D02E1" w:rsidRPr="008C43DE">
        <w:t xml:space="preserve"> 6 months </w:t>
      </w:r>
      <w:r w:rsidR="002E387A" w:rsidRPr="008C43DE">
        <w:t xml:space="preserve">which would be further increased by interest and charges </w:t>
      </w:r>
      <w:r w:rsidR="009A530B" w:rsidRPr="008C43DE">
        <w:t xml:space="preserve">not being paid </w:t>
      </w:r>
      <w:r w:rsidR="002E387A" w:rsidRPr="008C43DE">
        <w:t xml:space="preserve">for such a period of time. </w:t>
      </w:r>
      <w:r w:rsidR="00D32416" w:rsidRPr="008C43DE">
        <w:t xml:space="preserve">Again, other members of the group believe </w:t>
      </w:r>
      <w:r w:rsidR="00EB5BE4" w:rsidRPr="008C43DE">
        <w:t xml:space="preserve">aligning to the period of time for a standard moratorium reflects the purpose of this particular </w:t>
      </w:r>
      <w:r w:rsidR="00992FF7" w:rsidRPr="008C43DE">
        <w:t>protection</w:t>
      </w:r>
      <w:r w:rsidR="00EB5BE4" w:rsidRPr="008C43DE">
        <w:t xml:space="preserve"> period, i.e. </w:t>
      </w:r>
      <w:r w:rsidR="00992FF7" w:rsidRPr="008C43DE">
        <w:t>to allow the person time to focus on dealing with their debts.</w:t>
      </w:r>
    </w:p>
    <w:p w14:paraId="69735447" w14:textId="69C08F98" w:rsidR="00A07143" w:rsidRPr="008C43DE" w:rsidRDefault="00992538" w:rsidP="00F63159">
      <w:pPr>
        <w:pStyle w:val="Normalnumbered"/>
      </w:pPr>
      <w:r w:rsidRPr="008C43DE">
        <w:t>It was also</w:t>
      </w:r>
      <w:r w:rsidR="00A07143" w:rsidRPr="008C43DE">
        <w:t xml:space="preserve"> highlighted that interest and charges are not frozen in </w:t>
      </w:r>
      <w:r w:rsidR="00E50EE0" w:rsidRPr="008C43DE">
        <w:t>a</w:t>
      </w:r>
      <w:r w:rsidR="00A07143" w:rsidRPr="008C43DE">
        <w:t xml:space="preserve"> standard moratorium and this could potentially lead to people feeling they are being treated differently. However, it was understood why different approaches</w:t>
      </w:r>
      <w:r w:rsidR="00E50EE0" w:rsidRPr="008C43DE">
        <w:t xml:space="preserve"> would be taken</w:t>
      </w:r>
      <w:r w:rsidR="00A07143" w:rsidRPr="008C43DE">
        <w:t>.</w:t>
      </w:r>
    </w:p>
    <w:p w14:paraId="3795B58C" w14:textId="1D2A58FB" w:rsidR="003C22D8" w:rsidRPr="008C43DE" w:rsidRDefault="007C7996" w:rsidP="00F63159">
      <w:pPr>
        <w:pStyle w:val="Normalnumbered"/>
      </w:pPr>
      <w:r w:rsidRPr="008C43DE">
        <w:lastRenderedPageBreak/>
        <w:t xml:space="preserve">In terms of other protections, </w:t>
      </w:r>
      <w:r w:rsidR="00024DB8" w:rsidRPr="008C43DE">
        <w:t xml:space="preserve">most members of </w:t>
      </w:r>
      <w:r w:rsidRPr="008C43DE">
        <w:t xml:space="preserve">the group agreed that creditors should </w:t>
      </w:r>
      <w:r w:rsidR="009D2F3A" w:rsidRPr="008C43DE">
        <w:t>be prevented from</w:t>
      </w:r>
      <w:r w:rsidRPr="008C43DE">
        <w:t xml:space="preserve"> contact</w:t>
      </w:r>
      <w:r w:rsidR="009D2F3A" w:rsidRPr="008C43DE">
        <w:t>ing</w:t>
      </w:r>
      <w:r w:rsidRPr="008C43DE">
        <w:t xml:space="preserve"> individuals </w:t>
      </w:r>
      <w:r w:rsidR="00725D34" w:rsidRPr="008C43DE">
        <w:rPr>
          <w:rFonts w:cs="Arial"/>
        </w:rPr>
        <w:t>t</w:t>
      </w:r>
      <w:r w:rsidR="00725D34" w:rsidRPr="008C43DE">
        <w:rPr>
          <w:rStyle w:val="cf01"/>
          <w:rFonts w:ascii="Arial" w:hAnsi="Arial" w:cs="Arial"/>
          <w:sz w:val="24"/>
          <w:szCs w:val="24"/>
        </w:rPr>
        <w:t>o enforce or collect on the qualifying debts</w:t>
      </w:r>
      <w:r w:rsidR="00725D34" w:rsidRPr="008C43DE">
        <w:rPr>
          <w:rStyle w:val="cf01"/>
        </w:rPr>
        <w:t xml:space="preserve"> </w:t>
      </w:r>
      <w:r w:rsidRPr="008C43DE">
        <w:t xml:space="preserve">during </w:t>
      </w:r>
      <w:r w:rsidR="00024DB8" w:rsidRPr="008C43DE">
        <w:t>the</w:t>
      </w:r>
      <w:r w:rsidRPr="008C43DE">
        <w:t xml:space="preserve"> </w:t>
      </w:r>
      <w:r w:rsidR="00DF7BC5" w:rsidRPr="008C43DE">
        <w:t>MHM</w:t>
      </w:r>
      <w:r w:rsidR="00024DB8" w:rsidRPr="008C43DE">
        <w:t xml:space="preserve"> period</w:t>
      </w:r>
      <w:r w:rsidRPr="008C43DE">
        <w:t xml:space="preserve">. </w:t>
      </w:r>
      <w:r w:rsidR="004F2656" w:rsidRPr="008C43DE">
        <w:t>Contact by</w:t>
      </w:r>
      <w:r w:rsidR="003C22D8" w:rsidRPr="008C43DE">
        <w:t xml:space="preserve"> creditors</w:t>
      </w:r>
      <w:r w:rsidR="004F2656" w:rsidRPr="008C43DE">
        <w:t xml:space="preserve"> was highlighted as </w:t>
      </w:r>
      <w:r w:rsidR="009D2F3A" w:rsidRPr="008C43DE">
        <w:t xml:space="preserve">of </w:t>
      </w:r>
      <w:r w:rsidR="004F2656" w:rsidRPr="008C43DE">
        <w:t xml:space="preserve">particular concern </w:t>
      </w:r>
      <w:r w:rsidR="009D2F3A" w:rsidRPr="008C43DE">
        <w:t xml:space="preserve">as it </w:t>
      </w:r>
      <w:r w:rsidR="00994CCA" w:rsidRPr="008C43DE">
        <w:t>is</w:t>
      </w:r>
      <w:r w:rsidR="009D2F3A" w:rsidRPr="008C43DE">
        <w:t xml:space="preserve"> seen as </w:t>
      </w:r>
      <w:r w:rsidR="00EF2243" w:rsidRPr="008C43DE">
        <w:t>a potential driver to</w:t>
      </w:r>
      <w:r w:rsidR="004F2656" w:rsidRPr="008C43DE">
        <w:t xml:space="preserve"> escalating the individual</w:t>
      </w:r>
      <w:r w:rsidR="00994CCA" w:rsidRPr="008C43DE">
        <w:t>’s</w:t>
      </w:r>
      <w:r w:rsidR="004F2656" w:rsidRPr="008C43DE">
        <w:t xml:space="preserve"> mental health crisis</w:t>
      </w:r>
      <w:r w:rsidR="00EF2243" w:rsidRPr="008C43DE">
        <w:t>.</w:t>
      </w:r>
      <w:r w:rsidR="004F2656" w:rsidRPr="008C43DE">
        <w:t xml:space="preserve"> </w:t>
      </w:r>
      <w:r w:rsidR="00EF2243" w:rsidRPr="008C43DE">
        <w:t>T</w:t>
      </w:r>
      <w:r w:rsidR="004F2656" w:rsidRPr="008C43DE">
        <w:t>herefore</w:t>
      </w:r>
      <w:r w:rsidR="00EF2243" w:rsidRPr="008C43DE">
        <w:t>,</w:t>
      </w:r>
      <w:r w:rsidR="004F2656" w:rsidRPr="008C43DE">
        <w:t xml:space="preserve"> </w:t>
      </w:r>
      <w:r w:rsidR="008D56AE" w:rsidRPr="008C43DE">
        <w:t xml:space="preserve">the protection from </w:t>
      </w:r>
      <w:r w:rsidR="00994CCA" w:rsidRPr="008C43DE">
        <w:t>such</w:t>
      </w:r>
      <w:r w:rsidR="008D56AE" w:rsidRPr="008C43DE">
        <w:t xml:space="preserve"> contact was believed to be a necessary provision</w:t>
      </w:r>
      <w:r w:rsidR="00EF2243" w:rsidRPr="008C43DE">
        <w:t xml:space="preserve"> by most members of the working group.</w:t>
      </w:r>
      <w:r w:rsidR="008D56AE" w:rsidRPr="008C43DE">
        <w:t xml:space="preserve"> </w:t>
      </w:r>
      <w:r w:rsidR="0095481A" w:rsidRPr="008C43DE">
        <w:rPr>
          <w:rStyle w:val="cf01"/>
          <w:rFonts w:ascii="Arial" w:hAnsi="Arial" w:cs="Arial"/>
          <w:sz w:val="24"/>
          <w:szCs w:val="24"/>
        </w:rPr>
        <w:t xml:space="preserve">It has been highlighted that lenders have a legal obligation to contact customers who are in arrears on a credit agreement under the Consumer Credit Act 1974 or </w:t>
      </w:r>
      <w:r w:rsidR="009A3626">
        <w:rPr>
          <w:rStyle w:val="cf01"/>
          <w:rFonts w:ascii="Arial" w:hAnsi="Arial" w:cs="Arial"/>
          <w:sz w:val="24"/>
          <w:szCs w:val="24"/>
        </w:rPr>
        <w:t>Financial Services and Markets Act 2000 (</w:t>
      </w:r>
      <w:r w:rsidR="0095481A" w:rsidRPr="008C43DE">
        <w:rPr>
          <w:rStyle w:val="cf01"/>
          <w:rFonts w:ascii="Arial" w:hAnsi="Arial" w:cs="Arial"/>
          <w:sz w:val="24"/>
          <w:szCs w:val="24"/>
        </w:rPr>
        <w:t>FSMA rules</w:t>
      </w:r>
      <w:r w:rsidR="009A3626">
        <w:rPr>
          <w:rStyle w:val="cf01"/>
          <w:rFonts w:ascii="Arial" w:hAnsi="Arial" w:cs="Arial"/>
          <w:sz w:val="24"/>
          <w:szCs w:val="24"/>
        </w:rPr>
        <w:t>)</w:t>
      </w:r>
      <w:r w:rsidR="0095481A" w:rsidRPr="008C43DE">
        <w:rPr>
          <w:rStyle w:val="cf01"/>
          <w:rFonts w:ascii="Arial" w:hAnsi="Arial" w:cs="Arial"/>
          <w:sz w:val="24"/>
          <w:szCs w:val="24"/>
        </w:rPr>
        <w:t xml:space="preserve">. </w:t>
      </w:r>
      <w:r w:rsidR="002325D4" w:rsidRPr="008C43DE">
        <w:rPr>
          <w:rStyle w:val="cf01"/>
          <w:rFonts w:ascii="Arial" w:hAnsi="Arial" w:cs="Arial"/>
          <w:sz w:val="24"/>
          <w:szCs w:val="24"/>
        </w:rPr>
        <w:t>Therefore, it would be appropriate to allow l</w:t>
      </w:r>
      <w:r w:rsidR="0095481A" w:rsidRPr="008C43DE">
        <w:rPr>
          <w:rStyle w:val="cf01"/>
          <w:rFonts w:ascii="Arial" w:hAnsi="Arial" w:cs="Arial"/>
          <w:sz w:val="24"/>
          <w:szCs w:val="24"/>
        </w:rPr>
        <w:t>enders to continue to send such communications to meet their statutory dut</w:t>
      </w:r>
      <w:r w:rsidR="002325D4" w:rsidRPr="008C43DE">
        <w:rPr>
          <w:rStyle w:val="cf01"/>
          <w:rFonts w:ascii="Arial" w:hAnsi="Arial" w:cs="Arial"/>
          <w:sz w:val="24"/>
          <w:szCs w:val="24"/>
        </w:rPr>
        <w:t>ies</w:t>
      </w:r>
      <w:r w:rsidR="0095481A" w:rsidRPr="008C43DE">
        <w:rPr>
          <w:rStyle w:val="cf01"/>
          <w:rFonts w:ascii="Arial" w:hAnsi="Arial" w:cs="Arial"/>
          <w:sz w:val="24"/>
          <w:szCs w:val="24"/>
        </w:rPr>
        <w:t>.</w:t>
      </w:r>
    </w:p>
    <w:p w14:paraId="2D9C19E0" w14:textId="4C100A2A" w:rsidR="008F4228" w:rsidRDefault="00F21E34" w:rsidP="00F63159">
      <w:pPr>
        <w:pStyle w:val="Normalnumbered"/>
      </w:pPr>
      <w:r w:rsidRPr="0074435C">
        <w:t>As part of the group’s discussions</w:t>
      </w:r>
      <w:r w:rsidR="004207B6">
        <w:t>,</w:t>
      </w:r>
      <w:r w:rsidRPr="0074435C">
        <w:t xml:space="preserve"> it was highlighted that</w:t>
      </w:r>
      <w:r w:rsidR="004C3E3E" w:rsidRPr="0074435C">
        <w:t xml:space="preserve"> </w:t>
      </w:r>
      <w:r w:rsidR="006C438C">
        <w:t xml:space="preserve">some creditors may already apply </w:t>
      </w:r>
      <w:r w:rsidR="003705B5">
        <w:t xml:space="preserve">some of the proposed protections being suggested for a </w:t>
      </w:r>
      <w:r w:rsidR="00DF7BC5">
        <w:t>MHM</w:t>
      </w:r>
      <w:r w:rsidR="00485BC0">
        <w:t>. T</w:t>
      </w:r>
      <w:r w:rsidR="003705B5">
        <w:t xml:space="preserve">herefore, </w:t>
      </w:r>
      <w:r w:rsidR="00485BC0">
        <w:t xml:space="preserve">some may </w:t>
      </w:r>
      <w:r w:rsidR="003705B5">
        <w:t>ques</w:t>
      </w:r>
      <w:r w:rsidR="00D329BA">
        <w:t>tion the need for such statutory protections. Cr</w:t>
      </w:r>
      <w:r w:rsidR="004C3E3E" w:rsidRPr="0074435C">
        <w:t>edit lending organisations are required under</w:t>
      </w:r>
      <w:r w:rsidR="007A3EA1">
        <w:t xml:space="preserve"> the</w:t>
      </w:r>
      <w:r w:rsidR="007C7996" w:rsidRPr="0074435C">
        <w:t xml:space="preserve"> </w:t>
      </w:r>
      <w:hyperlink r:id="rId17" w:anchor="DES16" w:history="1">
        <w:r w:rsidR="0047231F">
          <w:rPr>
            <w:rStyle w:val="Hyperlink"/>
          </w:rPr>
          <w:t>Financial Conduct Authority handbook</w:t>
        </w:r>
      </w:hyperlink>
      <w:r w:rsidR="0074435C" w:rsidRPr="0074435C">
        <w:t xml:space="preserve"> to have a ‘vulnerable customer’ policy.</w:t>
      </w:r>
      <w:r w:rsidR="0074435C" w:rsidRPr="00FB2F26">
        <w:rPr>
          <w:rFonts w:cs="Arial"/>
          <w:shd w:val="clear" w:color="auto" w:fill="FFFFFF"/>
        </w:rPr>
        <w:t xml:space="preserve"> </w:t>
      </w:r>
      <w:r w:rsidR="00211D74">
        <w:t>H</w:t>
      </w:r>
      <w:r w:rsidR="00211D74" w:rsidRPr="0074435C">
        <w:t xml:space="preserve">owever, </w:t>
      </w:r>
      <w:r w:rsidR="3D718214" w:rsidRPr="0074435C">
        <w:t>t</w:t>
      </w:r>
      <w:r w:rsidR="004C3E3E" w:rsidRPr="0074435C">
        <w:t>he group</w:t>
      </w:r>
      <w:r w:rsidR="00211D74">
        <w:t xml:space="preserve"> </w:t>
      </w:r>
      <w:r w:rsidR="00EF4CD3" w:rsidRPr="0074435C">
        <w:t>recognised</w:t>
      </w:r>
      <w:r w:rsidR="004C3E3E" w:rsidRPr="0074435C">
        <w:t xml:space="preserve"> that this </w:t>
      </w:r>
      <w:r w:rsidR="00EF4CD3" w:rsidRPr="0074435C">
        <w:t>does not apply to non</w:t>
      </w:r>
      <w:r w:rsidR="0020416E">
        <w:t>-</w:t>
      </w:r>
      <w:r w:rsidR="00EF4CD3" w:rsidRPr="0074435C">
        <w:t>lending creditors, such as public sector creditors. Therefore, a consistent approach to all creditors would be beneficial</w:t>
      </w:r>
      <w:r w:rsidR="00211D74">
        <w:t xml:space="preserve"> </w:t>
      </w:r>
      <w:r w:rsidR="00921438">
        <w:t>and</w:t>
      </w:r>
      <w:r w:rsidR="00211D74">
        <w:t xml:space="preserve"> could be addressed by statutory protections</w:t>
      </w:r>
      <w:r w:rsidR="00EF4CD3" w:rsidRPr="0074435C">
        <w:t>.</w:t>
      </w:r>
      <w:r w:rsidR="008F4228">
        <w:t xml:space="preserve"> </w:t>
      </w:r>
    </w:p>
    <w:p w14:paraId="3F98DAC6" w14:textId="7C9B865B" w:rsidR="00F04CF4" w:rsidRPr="007C2A94" w:rsidRDefault="00F04CF4" w:rsidP="00F63159">
      <w:pPr>
        <w:pStyle w:val="Normalnumbered"/>
      </w:pPr>
      <w:r w:rsidRPr="007C2A94">
        <w:t>With respect of en</w:t>
      </w:r>
      <w:r w:rsidR="00E8198B" w:rsidRPr="007C2A94">
        <w:t xml:space="preserve">suring creditors adhere to the protections afforded by the </w:t>
      </w:r>
      <w:r w:rsidR="00067424" w:rsidRPr="007C2A94">
        <w:t>MHM</w:t>
      </w:r>
      <w:r w:rsidR="00E8198B" w:rsidRPr="007C2A94">
        <w:t xml:space="preserve">, the group do not believe </w:t>
      </w:r>
      <w:r w:rsidR="0030677D" w:rsidRPr="007C2A94">
        <w:t xml:space="preserve">anything beyond the </w:t>
      </w:r>
      <w:r w:rsidR="001833F8" w:rsidRPr="007C2A94">
        <w:t>requirements by the F</w:t>
      </w:r>
      <w:r w:rsidR="00DF7BC5" w:rsidRPr="007C2A94">
        <w:t>inancial Conduct Authority</w:t>
      </w:r>
      <w:r w:rsidR="001833F8" w:rsidRPr="007C2A94">
        <w:t xml:space="preserve"> or the guidance under the </w:t>
      </w:r>
      <w:r w:rsidR="00BF4374">
        <w:t xml:space="preserve">MHCBS </w:t>
      </w:r>
      <w:r w:rsidR="001833F8" w:rsidRPr="007C2A94">
        <w:t xml:space="preserve">would be appropriate. It was agreed that the circular issued to </w:t>
      </w:r>
      <w:r w:rsidR="001304F9" w:rsidRPr="007C2A94">
        <w:t>creditors</w:t>
      </w:r>
      <w:r w:rsidR="001833F8" w:rsidRPr="007C2A94">
        <w:t xml:space="preserve"> </w:t>
      </w:r>
      <w:r w:rsidR="001304F9" w:rsidRPr="007C2A94">
        <w:t>subsequent</w:t>
      </w:r>
      <w:r w:rsidR="001833F8" w:rsidRPr="007C2A94">
        <w:t xml:space="preserve"> to the granting of the </w:t>
      </w:r>
      <w:r w:rsidR="003A1F5A" w:rsidRPr="007C2A94">
        <w:t>MHM</w:t>
      </w:r>
      <w:r w:rsidR="001833F8" w:rsidRPr="007C2A94">
        <w:t xml:space="preserve"> should include reference to the obligations of the creditor </w:t>
      </w:r>
      <w:r w:rsidR="001304F9" w:rsidRPr="007C2A94">
        <w:t>as stipulated in legislation.</w:t>
      </w:r>
      <w:r w:rsidR="0030677D" w:rsidRPr="007C2A94">
        <w:t xml:space="preserve"> </w:t>
      </w:r>
      <w:r w:rsidR="001304F9" w:rsidRPr="007C2A94">
        <w:t xml:space="preserve">Guidance should also be published on the </w:t>
      </w:r>
      <w:r w:rsidR="003A1F5A" w:rsidRPr="007C2A94">
        <w:t>MHM</w:t>
      </w:r>
      <w:r w:rsidR="001304F9" w:rsidRPr="007C2A94">
        <w:t xml:space="preserve"> which states ‘i</w:t>
      </w:r>
      <w:r w:rsidR="001304F9" w:rsidRPr="007C2A94">
        <w:rPr>
          <w:rStyle w:val="cf01"/>
          <w:rFonts w:ascii="Arial" w:hAnsi="Arial" w:cs="Arial"/>
          <w:sz w:val="24"/>
          <w:szCs w:val="24"/>
        </w:rPr>
        <w:t xml:space="preserve">f the individual or anyone else believes that a creditor is not applying the protections, the debt adviser can be notified directly. They will take action to remind the creditor of their obligations during a </w:t>
      </w:r>
      <w:r w:rsidR="00DF7BC5" w:rsidRPr="007C2A94">
        <w:rPr>
          <w:rStyle w:val="cf01"/>
          <w:rFonts w:ascii="Arial" w:hAnsi="Arial" w:cs="Arial"/>
          <w:sz w:val="24"/>
          <w:szCs w:val="24"/>
        </w:rPr>
        <w:t>MHM</w:t>
      </w:r>
      <w:r w:rsidR="001304F9" w:rsidRPr="007C2A94">
        <w:rPr>
          <w:rStyle w:val="cf01"/>
          <w:rFonts w:ascii="Arial" w:hAnsi="Arial" w:cs="Arial"/>
          <w:sz w:val="24"/>
          <w:szCs w:val="24"/>
        </w:rPr>
        <w:t xml:space="preserve"> and, where appropriate, may inform the </w:t>
      </w:r>
      <w:r w:rsidR="00643FBE" w:rsidRPr="007C2A94">
        <w:rPr>
          <w:rStyle w:val="cf01"/>
          <w:rFonts w:ascii="Arial" w:hAnsi="Arial" w:cs="Arial"/>
          <w:sz w:val="24"/>
          <w:szCs w:val="24"/>
        </w:rPr>
        <w:t>AiB</w:t>
      </w:r>
      <w:r w:rsidR="001304F9" w:rsidRPr="007C2A94">
        <w:rPr>
          <w:rStyle w:val="cf01"/>
          <w:rFonts w:ascii="Arial" w:hAnsi="Arial" w:cs="Arial"/>
          <w:sz w:val="24"/>
          <w:szCs w:val="24"/>
        </w:rPr>
        <w:t xml:space="preserve"> or other relevant authorities or regulatory bodies about the creditor’s conduct.</w:t>
      </w:r>
      <w:r w:rsidR="0058065E" w:rsidRPr="007C2A94">
        <w:rPr>
          <w:rStyle w:val="cf01"/>
          <w:rFonts w:ascii="Arial" w:hAnsi="Arial" w:cs="Arial"/>
          <w:sz w:val="24"/>
          <w:szCs w:val="24"/>
        </w:rPr>
        <w:t>’</w:t>
      </w:r>
    </w:p>
    <w:p w14:paraId="08F1C8A2" w14:textId="267E1983" w:rsidR="00443D63" w:rsidRPr="007C2A94" w:rsidRDefault="00443D63" w:rsidP="00F63159">
      <w:pPr>
        <w:pStyle w:val="Normalnumbered"/>
      </w:pPr>
      <w:r w:rsidRPr="007C2A94">
        <w:t xml:space="preserve">The group </w:t>
      </w:r>
      <w:r w:rsidR="00752095" w:rsidRPr="007C2A94">
        <w:t xml:space="preserve">considered how a joint and severally liable debt should be addressed with respect of protections. </w:t>
      </w:r>
      <w:r w:rsidR="00E10098" w:rsidRPr="007C2A94">
        <w:t xml:space="preserve">One particular scenario </w:t>
      </w:r>
      <w:r w:rsidR="001D06BF" w:rsidRPr="007C2A94">
        <w:t xml:space="preserve">highlighted </w:t>
      </w:r>
      <w:r w:rsidR="00F20C3B" w:rsidRPr="007C2A94">
        <w:t>involved</w:t>
      </w:r>
      <w:r w:rsidR="001D06BF" w:rsidRPr="007C2A94">
        <w:t xml:space="preserve"> </w:t>
      </w:r>
      <w:r w:rsidR="001D06BF" w:rsidRPr="007C2A94">
        <w:lastRenderedPageBreak/>
        <w:t xml:space="preserve">multiple tenants within a property </w:t>
      </w:r>
      <w:r w:rsidR="0058065E" w:rsidRPr="007C2A94">
        <w:t>and</w:t>
      </w:r>
      <w:r w:rsidR="001D06BF" w:rsidRPr="007C2A94">
        <w:t xml:space="preserve"> one of </w:t>
      </w:r>
      <w:r w:rsidR="0058065E" w:rsidRPr="007C2A94">
        <w:t>the tenants is in a MHM.</w:t>
      </w:r>
      <w:r w:rsidR="001D06BF" w:rsidRPr="007C2A94">
        <w:t xml:space="preserve"> </w:t>
      </w:r>
      <w:r w:rsidR="00F96EA3" w:rsidRPr="007C2A94">
        <w:t xml:space="preserve">Should the individuals not in the </w:t>
      </w:r>
      <w:r w:rsidR="0058065E" w:rsidRPr="007C2A94">
        <w:t>MHM</w:t>
      </w:r>
      <w:r w:rsidR="00F96EA3" w:rsidRPr="007C2A94">
        <w:t xml:space="preserve"> be afforded the same protections</w:t>
      </w:r>
      <w:r w:rsidR="007E059F" w:rsidRPr="007C2A94">
        <w:t xml:space="preserve"> as the person in the </w:t>
      </w:r>
      <w:r w:rsidR="0058065E" w:rsidRPr="007C2A94">
        <w:t>MHM</w:t>
      </w:r>
      <w:r w:rsidR="007E059F" w:rsidRPr="007C2A94">
        <w:t xml:space="preserve">? </w:t>
      </w:r>
      <w:r w:rsidR="00F474E3" w:rsidRPr="007C2A94">
        <w:t>Some</w:t>
      </w:r>
      <w:r w:rsidR="00242F1E" w:rsidRPr="007C2A94">
        <w:t xml:space="preserve"> members of the group did not believe that was appropriate</w:t>
      </w:r>
      <w:r w:rsidR="00F474E3" w:rsidRPr="007C2A94">
        <w:t>, h</w:t>
      </w:r>
      <w:r w:rsidR="00242F1E" w:rsidRPr="007C2A94">
        <w:t xml:space="preserve">owever, they did not believe it was appropriate to evict the individuals as this would result in the individual in the </w:t>
      </w:r>
      <w:r w:rsidR="00F474E3" w:rsidRPr="007C2A94">
        <w:t>MHM</w:t>
      </w:r>
      <w:r w:rsidR="00242F1E" w:rsidRPr="007C2A94">
        <w:t xml:space="preserve"> being evicted. </w:t>
      </w:r>
      <w:r w:rsidR="00E872BF" w:rsidRPr="007C2A94">
        <w:t xml:space="preserve">The group discussed the approach adopted under the </w:t>
      </w:r>
      <w:r w:rsidR="00BF4374">
        <w:t xml:space="preserve">MHCBS </w:t>
      </w:r>
      <w:r w:rsidR="00E872BF" w:rsidRPr="007C2A94">
        <w:t xml:space="preserve">and </w:t>
      </w:r>
      <w:r w:rsidR="00F616A1" w:rsidRPr="007C2A94">
        <w:t>believed</w:t>
      </w:r>
      <w:r w:rsidR="00E872BF" w:rsidRPr="007C2A94">
        <w:t xml:space="preserve"> it to be </w:t>
      </w:r>
      <w:r w:rsidR="008F4228" w:rsidRPr="007C2A94">
        <w:t xml:space="preserve">reasonable. </w:t>
      </w:r>
      <w:r w:rsidR="00F616A1" w:rsidRPr="007C2A94">
        <w:t>Therefore, the group believe j</w:t>
      </w:r>
      <w:r w:rsidR="008F4228" w:rsidRPr="007C2A94">
        <w:rPr>
          <w:color w:val="0B0C0C"/>
        </w:rPr>
        <w:t xml:space="preserve">oint debts </w:t>
      </w:r>
      <w:r w:rsidR="00F616A1" w:rsidRPr="007C2A94">
        <w:rPr>
          <w:color w:val="0B0C0C"/>
        </w:rPr>
        <w:t>should</w:t>
      </w:r>
      <w:r w:rsidR="008F4228" w:rsidRPr="007C2A94">
        <w:rPr>
          <w:color w:val="0B0C0C"/>
        </w:rPr>
        <w:t xml:space="preserve"> be included</w:t>
      </w:r>
      <w:r w:rsidR="00F616A1" w:rsidRPr="007C2A94">
        <w:rPr>
          <w:color w:val="0B0C0C"/>
        </w:rPr>
        <w:t xml:space="preserve"> in the </w:t>
      </w:r>
      <w:r w:rsidR="00995203" w:rsidRPr="007C2A94">
        <w:rPr>
          <w:color w:val="0B0C0C"/>
        </w:rPr>
        <w:t>MHM</w:t>
      </w:r>
      <w:r w:rsidR="008F4228" w:rsidRPr="007C2A94">
        <w:rPr>
          <w:color w:val="0B0C0C"/>
        </w:rPr>
        <w:t xml:space="preserve">, even if only one </w:t>
      </w:r>
      <w:r w:rsidR="00EE6F8D" w:rsidRPr="007C2A94">
        <w:rPr>
          <w:color w:val="0B0C0C"/>
        </w:rPr>
        <w:t>party</w:t>
      </w:r>
      <w:r w:rsidR="008F4228" w:rsidRPr="007C2A94">
        <w:rPr>
          <w:color w:val="0B0C0C"/>
        </w:rPr>
        <w:t xml:space="preserve"> applies for </w:t>
      </w:r>
      <w:r w:rsidR="00EE6F8D" w:rsidRPr="007C2A94">
        <w:rPr>
          <w:color w:val="0B0C0C"/>
        </w:rPr>
        <w:t xml:space="preserve">the </w:t>
      </w:r>
      <w:r w:rsidR="00EE6F8D" w:rsidRPr="008C43DE">
        <w:rPr>
          <w:color w:val="0B0C0C"/>
        </w:rPr>
        <w:t>moratorium</w:t>
      </w:r>
      <w:r w:rsidR="008F4228" w:rsidRPr="008C43DE">
        <w:rPr>
          <w:color w:val="0B0C0C"/>
        </w:rPr>
        <w:t xml:space="preserve">. </w:t>
      </w:r>
      <w:r w:rsidR="00EE6F8D" w:rsidRPr="008C43DE">
        <w:rPr>
          <w:color w:val="0B0C0C"/>
        </w:rPr>
        <w:t xml:space="preserve">Diligence </w:t>
      </w:r>
      <w:r w:rsidR="008F4228" w:rsidRPr="008C43DE">
        <w:rPr>
          <w:color w:val="0B0C0C"/>
        </w:rPr>
        <w:t xml:space="preserve">protections </w:t>
      </w:r>
      <w:r w:rsidR="00EE6F8D" w:rsidRPr="008C43DE">
        <w:rPr>
          <w:color w:val="0B0C0C"/>
        </w:rPr>
        <w:t>should</w:t>
      </w:r>
      <w:r w:rsidR="008F4228" w:rsidRPr="008C43DE">
        <w:rPr>
          <w:color w:val="0B0C0C"/>
        </w:rPr>
        <w:t xml:space="preserve"> be applied to the other people who owe that </w:t>
      </w:r>
      <w:r w:rsidR="00EE6F8D" w:rsidRPr="008C43DE">
        <w:rPr>
          <w:color w:val="0B0C0C"/>
        </w:rPr>
        <w:t xml:space="preserve">joint </w:t>
      </w:r>
      <w:r w:rsidR="008F4228" w:rsidRPr="008C43DE">
        <w:rPr>
          <w:color w:val="0B0C0C"/>
        </w:rPr>
        <w:t xml:space="preserve">debt. Interest or fees </w:t>
      </w:r>
      <w:r w:rsidR="00EE6F8D" w:rsidRPr="008C43DE">
        <w:rPr>
          <w:color w:val="0B0C0C"/>
        </w:rPr>
        <w:t>could</w:t>
      </w:r>
      <w:r w:rsidR="008F4228" w:rsidRPr="008C43DE">
        <w:rPr>
          <w:color w:val="0B0C0C"/>
        </w:rPr>
        <w:t xml:space="preserve"> still be charged to the other people, and the </w:t>
      </w:r>
      <w:r w:rsidR="00EE6F8D" w:rsidRPr="008C43DE">
        <w:rPr>
          <w:color w:val="0B0C0C"/>
        </w:rPr>
        <w:t>moratorium should</w:t>
      </w:r>
      <w:r w:rsidR="008F4228" w:rsidRPr="008C43DE">
        <w:rPr>
          <w:color w:val="0B0C0C"/>
        </w:rPr>
        <w:t xml:space="preserve"> not affect the other people’s debts and liabilities in their own names.</w:t>
      </w:r>
      <w:r w:rsidR="00BD3C38" w:rsidRPr="008C43DE">
        <w:rPr>
          <w:color w:val="0B0C0C"/>
        </w:rPr>
        <w:t xml:space="preserve"> From this particular discussion the group </w:t>
      </w:r>
      <w:r w:rsidR="006F640B" w:rsidRPr="008C43DE">
        <w:rPr>
          <w:color w:val="0B0C0C"/>
        </w:rPr>
        <w:t>concluded that</w:t>
      </w:r>
      <w:r w:rsidR="00BD3C38" w:rsidRPr="008C43DE">
        <w:rPr>
          <w:color w:val="0B0C0C"/>
        </w:rPr>
        <w:t xml:space="preserve"> </w:t>
      </w:r>
      <w:r w:rsidR="004B2D7A" w:rsidRPr="008C43DE">
        <w:rPr>
          <w:color w:val="0B0C0C"/>
        </w:rPr>
        <w:t xml:space="preserve">the individual in the MHM should </w:t>
      </w:r>
      <w:r w:rsidR="006F640B" w:rsidRPr="008C43DE">
        <w:rPr>
          <w:color w:val="0B0C0C"/>
        </w:rPr>
        <w:t xml:space="preserve">also </w:t>
      </w:r>
      <w:r w:rsidR="004B2D7A" w:rsidRPr="008C43DE">
        <w:rPr>
          <w:color w:val="0B0C0C"/>
        </w:rPr>
        <w:t xml:space="preserve">be protected from eviction during </w:t>
      </w:r>
      <w:r w:rsidR="006F640B" w:rsidRPr="008C43DE">
        <w:rPr>
          <w:color w:val="0B0C0C"/>
        </w:rPr>
        <w:t>their moratorium period</w:t>
      </w:r>
      <w:r w:rsidR="00F3601E" w:rsidRPr="008C43DE">
        <w:rPr>
          <w:color w:val="0B0C0C"/>
        </w:rPr>
        <w:t xml:space="preserve"> which would also align to the approach taken in the MHCBS.</w:t>
      </w:r>
      <w:r w:rsidR="006F640B">
        <w:rPr>
          <w:color w:val="0B0C0C"/>
        </w:rPr>
        <w:t xml:space="preserve"> </w:t>
      </w:r>
    </w:p>
    <w:p w14:paraId="680F4D7B" w14:textId="04F135B4" w:rsidR="007C7996" w:rsidRDefault="007373AE" w:rsidP="00F63159">
      <w:pPr>
        <w:pStyle w:val="Normalnumbered"/>
      </w:pPr>
      <w:r>
        <w:t xml:space="preserve">While the group recognise the importance of </w:t>
      </w:r>
      <w:r w:rsidR="00280333">
        <w:t>applying protections from creditor action</w:t>
      </w:r>
      <w:r w:rsidR="001E43F6">
        <w:t>s</w:t>
      </w:r>
      <w:r w:rsidR="00280333">
        <w:t xml:space="preserve"> during the moratorium period</w:t>
      </w:r>
      <w:r w:rsidR="004207B6">
        <w:t>,</w:t>
      </w:r>
      <w:r w:rsidR="00280333">
        <w:t xml:space="preserve"> they also acknowledge </w:t>
      </w:r>
      <w:r w:rsidR="001E43F6">
        <w:t xml:space="preserve">the </w:t>
      </w:r>
      <w:r w:rsidR="005B5970">
        <w:t xml:space="preserve">possible </w:t>
      </w:r>
      <w:r w:rsidR="001E43F6">
        <w:t>need for</w:t>
      </w:r>
      <w:r w:rsidR="00280333">
        <w:t xml:space="preserve"> obligations </w:t>
      </w:r>
      <w:r w:rsidR="00437F32">
        <w:t>to be applied to</w:t>
      </w:r>
      <w:r w:rsidR="00280333">
        <w:t xml:space="preserve"> the individual in the moratorium. </w:t>
      </w:r>
      <w:r w:rsidR="00DC3BBA">
        <w:t>Concern</w:t>
      </w:r>
      <w:r w:rsidR="003E0574">
        <w:t>s</w:t>
      </w:r>
      <w:r w:rsidR="00DC3BBA">
        <w:t xml:space="preserve"> </w:t>
      </w:r>
      <w:r w:rsidR="004207B6">
        <w:t>were</w:t>
      </w:r>
      <w:r w:rsidR="00DC3BBA">
        <w:t xml:space="preserve"> raised with the group on</w:t>
      </w:r>
      <w:r w:rsidR="007C71E6">
        <w:t xml:space="preserve"> the potential for the individual </w:t>
      </w:r>
      <w:r w:rsidR="00437F32">
        <w:t>obtaining</w:t>
      </w:r>
      <w:r w:rsidR="007C71E6">
        <w:t xml:space="preserve"> further credit during the moratorium period </w:t>
      </w:r>
      <w:r w:rsidR="00E9100E">
        <w:t xml:space="preserve">due to the </w:t>
      </w:r>
      <w:r w:rsidR="00F31A68">
        <w:t xml:space="preserve">potential </w:t>
      </w:r>
      <w:r w:rsidR="00E9100E">
        <w:t>creditor being unaware of the individual’s circumstances.</w:t>
      </w:r>
    </w:p>
    <w:p w14:paraId="08750D1A" w14:textId="7BA49BB4" w:rsidR="00A07143" w:rsidRPr="008C43DE" w:rsidRDefault="00D93778" w:rsidP="00F63159">
      <w:pPr>
        <w:pStyle w:val="Normalnumbered"/>
      </w:pPr>
      <w:r>
        <w:t xml:space="preserve">Following this, the group considered how </w:t>
      </w:r>
      <w:r w:rsidR="004207B6">
        <w:t>a</w:t>
      </w:r>
      <w:r w:rsidR="00A07143">
        <w:t xml:space="preserve"> </w:t>
      </w:r>
      <w:r w:rsidR="00DF7BC5">
        <w:t>MHM</w:t>
      </w:r>
      <w:r>
        <w:t xml:space="preserve"> should be</w:t>
      </w:r>
      <w:r w:rsidR="00A07143">
        <w:t xml:space="preserve"> registered. Currently </w:t>
      </w:r>
      <w:r>
        <w:t xml:space="preserve">information on </w:t>
      </w:r>
      <w:r w:rsidR="004207B6">
        <w:t>an</w:t>
      </w:r>
      <w:r>
        <w:t xml:space="preserve"> individual in a </w:t>
      </w:r>
      <w:r w:rsidR="00A07143">
        <w:t xml:space="preserve">standard moratorium </w:t>
      </w:r>
      <w:r>
        <w:t>is publicly available on</w:t>
      </w:r>
      <w:r w:rsidR="00A07143">
        <w:t xml:space="preserve"> the Register of Insolvencies. </w:t>
      </w:r>
      <w:r w:rsidR="009004EB">
        <w:t>Thereby</w:t>
      </w:r>
      <w:r w:rsidR="004E58CD">
        <w:t>,</w:t>
      </w:r>
      <w:r w:rsidR="009004EB">
        <w:t xml:space="preserve"> providing the creditor with an opportunity to check </w:t>
      </w:r>
      <w:r w:rsidR="007861CE">
        <w:t xml:space="preserve">an individual’s eligibility for credit. However, the group believe taking a similar public register approach to a </w:t>
      </w:r>
      <w:r w:rsidR="00DF7BC5">
        <w:t>MHM</w:t>
      </w:r>
      <w:r w:rsidR="007861CE">
        <w:t xml:space="preserve"> requires</w:t>
      </w:r>
      <w:r w:rsidR="00A07143">
        <w:t xml:space="preserve"> caution</w:t>
      </w:r>
      <w:r w:rsidR="007861CE">
        <w:t>.</w:t>
      </w:r>
      <w:r w:rsidR="00A07143">
        <w:t xml:space="preserve"> </w:t>
      </w:r>
      <w:r w:rsidR="00B37543">
        <w:t xml:space="preserve">There </w:t>
      </w:r>
      <w:r w:rsidR="004E58CD">
        <w:t>were</w:t>
      </w:r>
      <w:r w:rsidR="00B37543">
        <w:t xml:space="preserve"> concerns </w:t>
      </w:r>
      <w:r w:rsidR="00E47842">
        <w:t>with</w:t>
      </w:r>
      <w:r w:rsidR="00A07143">
        <w:t xml:space="preserve"> </w:t>
      </w:r>
      <w:r w:rsidR="00B37543" w:rsidRPr="008C43DE">
        <w:t xml:space="preserve">information being </w:t>
      </w:r>
      <w:r w:rsidR="00E47842" w:rsidRPr="008C43DE">
        <w:t xml:space="preserve">publicly </w:t>
      </w:r>
      <w:r w:rsidR="00B37543" w:rsidRPr="008C43DE">
        <w:t xml:space="preserve">available </w:t>
      </w:r>
      <w:r w:rsidR="00A07143" w:rsidRPr="008C43DE">
        <w:t xml:space="preserve">which would </w:t>
      </w:r>
      <w:r w:rsidR="00E47842" w:rsidRPr="008C43DE">
        <w:t xml:space="preserve">potentially </w:t>
      </w:r>
      <w:r w:rsidR="00A07143" w:rsidRPr="008C43DE">
        <w:t xml:space="preserve">identify a person as </w:t>
      </w:r>
      <w:r w:rsidR="00B37543" w:rsidRPr="008C43DE">
        <w:t>receiving mental health treatment</w:t>
      </w:r>
      <w:r w:rsidR="007E54BB" w:rsidRPr="008C43DE">
        <w:t xml:space="preserve"> </w:t>
      </w:r>
      <w:r w:rsidR="007E54BB" w:rsidRPr="008C43DE">
        <w:rPr>
          <w:rStyle w:val="cf01"/>
          <w:rFonts w:ascii="Arial" w:hAnsi="Arial" w:cs="Arial"/>
          <w:sz w:val="24"/>
          <w:szCs w:val="24"/>
        </w:rPr>
        <w:t>and a special category of data under GDPR.</w:t>
      </w:r>
    </w:p>
    <w:p w14:paraId="243F73FC" w14:textId="7E7A987B" w:rsidR="007D029D" w:rsidRPr="008C43DE" w:rsidRDefault="00A07143" w:rsidP="00F63159">
      <w:pPr>
        <w:pStyle w:val="Normalnumbered"/>
      </w:pPr>
      <w:r w:rsidRPr="008C43DE">
        <w:t xml:space="preserve">Taking this into consideration, the group agreed that the standard moratorium should be distinct from the </w:t>
      </w:r>
      <w:r w:rsidR="00DF7BC5" w:rsidRPr="008C43DE">
        <w:t>MHM</w:t>
      </w:r>
      <w:r w:rsidR="007D0EC0" w:rsidRPr="008C43DE">
        <w:t>. The standard moratorium should</w:t>
      </w:r>
      <w:r w:rsidRPr="008C43DE">
        <w:t xml:space="preserve"> remain </w:t>
      </w:r>
      <w:r w:rsidR="007D0EC0" w:rsidRPr="008C43DE">
        <w:t xml:space="preserve">unchanged </w:t>
      </w:r>
      <w:r w:rsidRPr="008C43DE">
        <w:t>on the Register of Insolvencies</w:t>
      </w:r>
      <w:r w:rsidR="007D0EC0" w:rsidRPr="008C43DE">
        <w:t xml:space="preserve"> while t</w:t>
      </w:r>
      <w:r w:rsidRPr="008C43DE">
        <w:t xml:space="preserve">he </w:t>
      </w:r>
      <w:r w:rsidR="00DF7BC5" w:rsidRPr="008C43DE">
        <w:t>MHM</w:t>
      </w:r>
      <w:r w:rsidRPr="008C43DE">
        <w:t xml:space="preserve"> should be on a separate IT system that money advisers can access to submit applications and upload supporting documentation. </w:t>
      </w:r>
    </w:p>
    <w:p w14:paraId="52DEC2C9" w14:textId="3D0631F5" w:rsidR="00A07143" w:rsidRDefault="000A5C94" w:rsidP="00F63159">
      <w:pPr>
        <w:pStyle w:val="Normalnumbered"/>
      </w:pPr>
      <w:r>
        <w:lastRenderedPageBreak/>
        <w:t>The</w:t>
      </w:r>
      <w:r w:rsidR="00200B91">
        <w:t xml:space="preserve"> risk to a </w:t>
      </w:r>
      <w:r w:rsidR="00273EB8">
        <w:t>potential</w:t>
      </w:r>
      <w:r w:rsidR="00200B91">
        <w:t xml:space="preserve"> future creditor was acknowledged</w:t>
      </w:r>
      <w:r w:rsidR="00A60EC7">
        <w:t xml:space="preserve"> </w:t>
      </w:r>
      <w:r w:rsidR="00A60EC7" w:rsidRPr="00A86EA0">
        <w:t xml:space="preserve">and </w:t>
      </w:r>
      <w:r w:rsidR="00063A33" w:rsidRPr="00A86EA0">
        <w:t xml:space="preserve">the group considered whether </w:t>
      </w:r>
      <w:r w:rsidR="00221B24" w:rsidRPr="00A86EA0">
        <w:t xml:space="preserve">there should be an obligation on the individual in a </w:t>
      </w:r>
      <w:r w:rsidR="00DF7BC5">
        <w:t>MHM</w:t>
      </w:r>
      <w:r w:rsidR="00221B24" w:rsidRPr="00A86EA0">
        <w:t xml:space="preserve"> not to obtain credit while they are receiving the protections of the moratorium. </w:t>
      </w:r>
      <w:r w:rsidR="00F74BF6" w:rsidRPr="00A86EA0">
        <w:rPr>
          <w:rStyle w:val="CommentReference"/>
          <w:sz w:val="24"/>
          <w:szCs w:val="22"/>
        </w:rPr>
        <w:t>It was acknowledge</w:t>
      </w:r>
      <w:r w:rsidR="00F7276C" w:rsidRPr="00A86EA0">
        <w:rPr>
          <w:rStyle w:val="CommentReference"/>
          <w:sz w:val="24"/>
          <w:szCs w:val="22"/>
        </w:rPr>
        <w:t>d</w:t>
      </w:r>
      <w:r w:rsidR="00F74BF6" w:rsidRPr="00A86EA0">
        <w:rPr>
          <w:rStyle w:val="CommentReference"/>
          <w:sz w:val="24"/>
          <w:szCs w:val="22"/>
        </w:rPr>
        <w:t xml:space="preserve"> that there will be situations where the individual will need credit. It was also noted that excessive spending can be a compulsion for some people and part of their mental health condition. It may therefore be unfair to put them in the position of their </w:t>
      </w:r>
      <w:r w:rsidR="00DF7BC5">
        <w:rPr>
          <w:rStyle w:val="CommentReference"/>
          <w:sz w:val="24"/>
          <w:szCs w:val="22"/>
        </w:rPr>
        <w:t>MHM</w:t>
      </w:r>
      <w:r w:rsidR="00F74BF6" w:rsidRPr="00A86EA0">
        <w:rPr>
          <w:rStyle w:val="CommentReference"/>
          <w:sz w:val="24"/>
          <w:szCs w:val="22"/>
        </w:rPr>
        <w:t xml:space="preserve"> being revoked for something outwith their control.</w:t>
      </w:r>
      <w:r w:rsidR="00F74BF6">
        <w:rPr>
          <w:rStyle w:val="CommentReference"/>
          <w:sz w:val="24"/>
          <w:szCs w:val="22"/>
        </w:rPr>
        <w:t xml:space="preserve"> </w:t>
      </w:r>
      <w:r w:rsidR="00EB696B">
        <w:t>A</w:t>
      </w:r>
      <w:r w:rsidR="00A60EC7">
        <w:t xml:space="preserve"> possible solution </w:t>
      </w:r>
      <w:r w:rsidR="00273EB8">
        <w:t xml:space="preserve">would be for </w:t>
      </w:r>
      <w:r w:rsidR="00662720">
        <w:t xml:space="preserve">the individual to have </w:t>
      </w:r>
      <w:r w:rsidR="00A94E8B">
        <w:t xml:space="preserve">similar </w:t>
      </w:r>
      <w:r w:rsidR="005F3167">
        <w:t xml:space="preserve">obligations </w:t>
      </w:r>
      <w:r w:rsidR="00662720">
        <w:t xml:space="preserve">to an </w:t>
      </w:r>
      <w:r w:rsidR="00273EB8">
        <w:t>individual</w:t>
      </w:r>
      <w:r w:rsidR="005F3167">
        <w:t xml:space="preserve"> in bankruptcy</w:t>
      </w:r>
      <w:r w:rsidR="000A12C7">
        <w:t xml:space="preserve"> with respect of obtaining credit. Currently</w:t>
      </w:r>
      <w:r w:rsidR="00684017">
        <w:t>, in bankruptcy,</w:t>
      </w:r>
      <w:r w:rsidR="000A12C7">
        <w:t xml:space="preserve"> an individual </w:t>
      </w:r>
      <w:r w:rsidR="004207B6">
        <w:t>must not</w:t>
      </w:r>
      <w:r w:rsidR="000A12C7">
        <w:t xml:space="preserve"> obtain credit of more than </w:t>
      </w:r>
      <w:r w:rsidR="00684017">
        <w:t xml:space="preserve">£2,000 unless they notify </w:t>
      </w:r>
      <w:r w:rsidR="00684017" w:rsidRPr="00684017">
        <w:rPr>
          <w:rFonts w:cs="Arial"/>
          <w:color w:val="000000"/>
          <w:shd w:val="clear" w:color="auto" w:fill="FFFFFF"/>
        </w:rPr>
        <w:t xml:space="preserve">the person from whom the credit is obtained about </w:t>
      </w:r>
      <w:r w:rsidR="00684017">
        <w:rPr>
          <w:rFonts w:cs="Arial"/>
          <w:color w:val="000000"/>
          <w:shd w:val="clear" w:color="auto" w:fill="FFFFFF"/>
        </w:rPr>
        <w:t xml:space="preserve">their bankruptcy status. </w:t>
      </w:r>
      <w:r w:rsidR="00DC302E">
        <w:t>Some of the</w:t>
      </w:r>
      <w:r w:rsidR="00684017">
        <w:t xml:space="preserve"> group </w:t>
      </w:r>
      <w:r w:rsidR="008B0E0B">
        <w:t xml:space="preserve">considered </w:t>
      </w:r>
      <w:r w:rsidR="00464B7A">
        <w:t xml:space="preserve">it </w:t>
      </w:r>
      <w:r w:rsidR="008B0E0B">
        <w:t xml:space="preserve">appropriate to </w:t>
      </w:r>
      <w:r w:rsidR="00464B7A">
        <w:t>have an equivalent</w:t>
      </w:r>
      <w:r w:rsidR="008B0E0B">
        <w:t xml:space="preserve"> obligation </w:t>
      </w:r>
      <w:r w:rsidR="00464B7A">
        <w:t>on</w:t>
      </w:r>
      <w:r w:rsidR="008B0E0B">
        <w:t xml:space="preserve"> an individual in a</w:t>
      </w:r>
      <w:r w:rsidR="004D6BA3">
        <w:t xml:space="preserve"> </w:t>
      </w:r>
      <w:r w:rsidR="00DF7BC5">
        <w:t>MHM</w:t>
      </w:r>
      <w:r w:rsidR="00464B7A">
        <w:t xml:space="preserve"> and, therefore, </w:t>
      </w:r>
      <w:r w:rsidR="00AE6833">
        <w:t>refe</w:t>
      </w:r>
      <w:r w:rsidR="000C0BA7">
        <w:t>r</w:t>
      </w:r>
      <w:r w:rsidR="00AE6833">
        <w:t>r</w:t>
      </w:r>
      <w:r w:rsidR="004062C5">
        <w:t>ing</w:t>
      </w:r>
      <w:r w:rsidR="00AE6833">
        <w:t xml:space="preserve"> to the relevant section of the Bankruptcy (Scotland) Act 2016</w:t>
      </w:r>
      <w:r w:rsidR="004062C5">
        <w:t xml:space="preserve"> would provide </w:t>
      </w:r>
      <w:r w:rsidR="00AE6DCD">
        <w:t>equality and simplicity</w:t>
      </w:r>
      <w:r w:rsidR="007D029D">
        <w:t>.</w:t>
      </w:r>
    </w:p>
    <w:p w14:paraId="1E758258" w14:textId="60078505" w:rsidR="00744F23" w:rsidRDefault="00744F23" w:rsidP="005F3B2F">
      <w:pPr>
        <w:pStyle w:val="Heading3"/>
        <w:rPr>
          <w:rFonts w:eastAsia="Arial"/>
        </w:rPr>
      </w:pPr>
      <w:r w:rsidRPr="008E2E0E">
        <w:rPr>
          <w:rFonts w:eastAsia="Arial"/>
        </w:rPr>
        <w:t>Recommendation</w:t>
      </w:r>
      <w:r w:rsidR="005F3B2F">
        <w:rPr>
          <w:rFonts w:eastAsia="Arial"/>
        </w:rPr>
        <w:t>s</w:t>
      </w:r>
    </w:p>
    <w:p w14:paraId="2FB14F59" w14:textId="1A50A3A6" w:rsidR="002152CF" w:rsidRPr="008C43DE" w:rsidRDefault="00CA6D61" w:rsidP="00D70313">
      <w:pPr>
        <w:pStyle w:val="bulletsafter18"/>
      </w:pPr>
      <w:r w:rsidRPr="008C43DE">
        <w:rPr>
          <w:b/>
        </w:rPr>
        <w:t xml:space="preserve">Recommendation </w:t>
      </w:r>
      <w:r w:rsidR="00143ABF" w:rsidRPr="008C43DE">
        <w:rPr>
          <w:b/>
        </w:rPr>
        <w:t>6</w:t>
      </w:r>
      <w:r w:rsidRPr="008C43DE">
        <w:t xml:space="preserve"> - The group recommends </w:t>
      </w:r>
      <w:r w:rsidR="005F54AB" w:rsidRPr="008C43DE">
        <w:t>that</w:t>
      </w:r>
      <w:r w:rsidR="00641F5B" w:rsidRPr="008C43DE">
        <w:t>,</w:t>
      </w:r>
      <w:r w:rsidR="005F54AB" w:rsidRPr="008C43DE">
        <w:t xml:space="preserve"> </w:t>
      </w:r>
      <w:r w:rsidR="00D048A9" w:rsidRPr="008C43DE">
        <w:t>when creditors are</w:t>
      </w:r>
      <w:r w:rsidR="005F54AB" w:rsidRPr="008C43DE">
        <w:t xml:space="preserve"> notified of the </w:t>
      </w:r>
      <w:r w:rsidR="00DF7BC5" w:rsidRPr="008C43DE">
        <w:t>MHM</w:t>
      </w:r>
      <w:r w:rsidR="00304CC6" w:rsidRPr="008C43DE">
        <w:t>,</w:t>
      </w:r>
      <w:r w:rsidR="005F54AB" w:rsidRPr="008C43DE">
        <w:t xml:space="preserve"> </w:t>
      </w:r>
      <w:r w:rsidR="00D048A9" w:rsidRPr="008C43DE">
        <w:t xml:space="preserve">there will be no requirement </w:t>
      </w:r>
      <w:r w:rsidR="00590305" w:rsidRPr="008C43DE">
        <w:t xml:space="preserve">on the individual in the MHM </w:t>
      </w:r>
      <w:r w:rsidR="00D048A9" w:rsidRPr="008C43DE">
        <w:t xml:space="preserve">to pay </w:t>
      </w:r>
      <w:r w:rsidR="002152CF" w:rsidRPr="008C43DE">
        <w:t xml:space="preserve">interest and charges </w:t>
      </w:r>
      <w:r w:rsidR="00A74333" w:rsidRPr="008C43DE">
        <w:t xml:space="preserve">on the qualifying debt </w:t>
      </w:r>
      <w:r w:rsidR="00C6496B" w:rsidRPr="008C43DE">
        <w:t xml:space="preserve">which would accrue during the moratorium period for </w:t>
      </w:r>
      <w:r w:rsidR="002152CF" w:rsidRPr="008C43DE">
        <w:t>debt</w:t>
      </w:r>
      <w:r w:rsidR="00C6496B" w:rsidRPr="008C43DE">
        <w:t>s</w:t>
      </w:r>
      <w:r w:rsidR="002152CF" w:rsidRPr="008C43DE">
        <w:t xml:space="preserve"> incurred prior to the granting of the moratorium. </w:t>
      </w:r>
      <w:r w:rsidR="004D771C" w:rsidRPr="008C43DE">
        <w:t xml:space="preserve">Interest and charges on the debt </w:t>
      </w:r>
      <w:r w:rsidR="00212A09" w:rsidRPr="008C43DE">
        <w:t>c</w:t>
      </w:r>
      <w:r w:rsidR="004D771C" w:rsidRPr="008C43DE">
        <w:t xml:space="preserve">ould only recommence </w:t>
      </w:r>
      <w:r w:rsidR="0021195C" w:rsidRPr="008C43DE">
        <w:t>after the moratorium has ceased.</w:t>
      </w:r>
    </w:p>
    <w:p w14:paraId="702F7103" w14:textId="4873ED9F" w:rsidR="004D771C" w:rsidRPr="008C43DE" w:rsidRDefault="002152CF" w:rsidP="00D70313">
      <w:pPr>
        <w:pStyle w:val="bulletsafter18"/>
      </w:pPr>
      <w:r w:rsidRPr="008C43DE">
        <w:rPr>
          <w:b/>
        </w:rPr>
        <w:t xml:space="preserve">Recommendation </w:t>
      </w:r>
      <w:r w:rsidR="00143ABF" w:rsidRPr="008C43DE">
        <w:rPr>
          <w:b/>
        </w:rPr>
        <w:t>7</w:t>
      </w:r>
      <w:r w:rsidRPr="008C43DE">
        <w:t xml:space="preserve"> - The group recommends that on being notified of the moratorium</w:t>
      </w:r>
      <w:r w:rsidR="00304CC6" w:rsidRPr="008C43DE">
        <w:t>,</w:t>
      </w:r>
      <w:r w:rsidRPr="008C43DE">
        <w:t xml:space="preserve"> creditors should cease any contact with the individual which relates to the pursuit of that debt</w:t>
      </w:r>
      <w:r w:rsidR="004D771C" w:rsidRPr="008C43DE">
        <w:t xml:space="preserve"> during the moratorium period</w:t>
      </w:r>
      <w:r w:rsidRPr="008C43DE">
        <w:t>.</w:t>
      </w:r>
    </w:p>
    <w:p w14:paraId="6B9451F6" w14:textId="333A86D0" w:rsidR="00816221" w:rsidRPr="008C43DE" w:rsidRDefault="004D771C" w:rsidP="00D70313">
      <w:pPr>
        <w:pStyle w:val="bulletsafter18"/>
      </w:pPr>
      <w:r w:rsidRPr="008C43DE">
        <w:rPr>
          <w:b/>
        </w:rPr>
        <w:t xml:space="preserve">Recommendation </w:t>
      </w:r>
      <w:r w:rsidR="00143ABF" w:rsidRPr="008C43DE">
        <w:rPr>
          <w:b/>
        </w:rPr>
        <w:t>8</w:t>
      </w:r>
      <w:r w:rsidRPr="008C43DE">
        <w:t xml:space="preserve"> - The group recommends that on being notified of the moratorium</w:t>
      </w:r>
      <w:r w:rsidR="00304CC6" w:rsidRPr="008C43DE">
        <w:t>,</w:t>
      </w:r>
      <w:r w:rsidRPr="008C43DE">
        <w:t xml:space="preserve"> creditors should not commence or continue with any form of diligence during the moratorium period.</w:t>
      </w:r>
    </w:p>
    <w:p w14:paraId="6752B26D" w14:textId="6D14DF1C" w:rsidR="0034039C" w:rsidRPr="008C43DE" w:rsidRDefault="0034039C" w:rsidP="00D70313">
      <w:pPr>
        <w:pStyle w:val="bulletsafter18"/>
      </w:pPr>
      <w:r w:rsidRPr="008C43DE">
        <w:rPr>
          <w:b/>
        </w:rPr>
        <w:lastRenderedPageBreak/>
        <w:t xml:space="preserve">Recommendation 9 </w:t>
      </w:r>
      <w:r w:rsidRPr="008C43DE">
        <w:t xml:space="preserve">– The group recommends that </w:t>
      </w:r>
      <w:r w:rsidR="001F7705" w:rsidRPr="008C43DE">
        <w:t xml:space="preserve">it should not be possible to evict </w:t>
      </w:r>
      <w:r w:rsidRPr="008C43DE">
        <w:t xml:space="preserve">an individual </w:t>
      </w:r>
      <w:r w:rsidR="0089071E" w:rsidRPr="008C43DE">
        <w:t xml:space="preserve">who has been </w:t>
      </w:r>
      <w:r w:rsidR="001F7705" w:rsidRPr="008C43DE">
        <w:t xml:space="preserve">granted an MHM during their moratorium period. </w:t>
      </w:r>
    </w:p>
    <w:p w14:paraId="0F57796D" w14:textId="7E053FC1" w:rsidR="00C55462" w:rsidRPr="007C2A94" w:rsidRDefault="00C55462" w:rsidP="00D70313">
      <w:pPr>
        <w:pStyle w:val="bulletsafter18"/>
      </w:pPr>
      <w:r w:rsidRPr="007C2A94">
        <w:rPr>
          <w:b/>
          <w:bCs/>
        </w:rPr>
        <w:t xml:space="preserve">Recommendation </w:t>
      </w:r>
      <w:r w:rsidR="001F7705">
        <w:rPr>
          <w:b/>
          <w:bCs/>
        </w:rPr>
        <w:t>10</w:t>
      </w:r>
      <w:r w:rsidR="001F7705" w:rsidRPr="007C2A94">
        <w:t xml:space="preserve"> </w:t>
      </w:r>
      <w:r w:rsidRPr="007C2A94">
        <w:t xml:space="preserve">- The group recommends that joint and severally liable debts be included in the MHM. Diligence protections should be applied to the </w:t>
      </w:r>
      <w:r w:rsidR="00EB7D15" w:rsidRPr="007C2A94">
        <w:t xml:space="preserve">other </w:t>
      </w:r>
      <w:r w:rsidRPr="007C2A94">
        <w:t>part</w:t>
      </w:r>
      <w:r w:rsidR="002B61B7" w:rsidRPr="007C2A94">
        <w:t xml:space="preserve">y </w:t>
      </w:r>
      <w:r w:rsidR="00EB7D15" w:rsidRPr="007C2A94">
        <w:t>or parties</w:t>
      </w:r>
      <w:r w:rsidRPr="007C2A94">
        <w:t xml:space="preserve"> </w:t>
      </w:r>
      <w:r w:rsidR="007776CC" w:rsidRPr="007C2A94">
        <w:t xml:space="preserve">not in the MHM but </w:t>
      </w:r>
      <w:r w:rsidRPr="007C2A94">
        <w:t xml:space="preserve">who owe that joint debt. Interest or fees could still be charged to </w:t>
      </w:r>
      <w:r w:rsidR="007776CC" w:rsidRPr="007C2A94">
        <w:t>those part</w:t>
      </w:r>
      <w:r w:rsidR="00EB7D15" w:rsidRPr="007C2A94">
        <w:t>y or parties</w:t>
      </w:r>
      <w:r w:rsidRPr="007C2A94">
        <w:t xml:space="preserve">, and the moratorium should not affect </w:t>
      </w:r>
      <w:r w:rsidR="007776CC" w:rsidRPr="007C2A94">
        <w:t>their</w:t>
      </w:r>
      <w:r w:rsidRPr="007C2A94">
        <w:t xml:space="preserve"> debts and liabilities in their own names.</w:t>
      </w:r>
    </w:p>
    <w:p w14:paraId="7702002E" w14:textId="5B9441C2" w:rsidR="6BAA9810" w:rsidRPr="007C2A94" w:rsidRDefault="6BAA9810" w:rsidP="00D70313">
      <w:pPr>
        <w:pStyle w:val="bulletsafter18"/>
      </w:pPr>
      <w:r w:rsidRPr="007C2A94">
        <w:rPr>
          <w:b/>
          <w:bCs/>
        </w:rPr>
        <w:t xml:space="preserve">Recommendation </w:t>
      </w:r>
      <w:r w:rsidR="001F7705" w:rsidRPr="007C2A94">
        <w:rPr>
          <w:b/>
          <w:bCs/>
        </w:rPr>
        <w:t>1</w:t>
      </w:r>
      <w:r w:rsidR="001F7705">
        <w:rPr>
          <w:b/>
          <w:bCs/>
        </w:rPr>
        <w:t>1</w:t>
      </w:r>
      <w:r w:rsidR="001F7705" w:rsidRPr="007C2A94">
        <w:rPr>
          <w:b/>
          <w:bCs/>
        </w:rPr>
        <w:t xml:space="preserve"> </w:t>
      </w:r>
      <w:r w:rsidRPr="007C2A94">
        <w:t>– The group recommends that the MHM is distinct from the standard moratorium. The MHM should be recorded on a separate IT system from the standard moratorium and not publicly registered on the ROI unlike the standard moratorium.</w:t>
      </w:r>
    </w:p>
    <w:p w14:paraId="2FBCFF61" w14:textId="567C1E35" w:rsidR="00816221" w:rsidRPr="00816221" w:rsidRDefault="00816221" w:rsidP="00D70313">
      <w:pPr>
        <w:pStyle w:val="bulletsafter18"/>
      </w:pPr>
      <w:r w:rsidRPr="06E63119">
        <w:rPr>
          <w:b/>
          <w:bCs/>
        </w:rPr>
        <w:t xml:space="preserve">Recommendation </w:t>
      </w:r>
      <w:r w:rsidR="001F7705">
        <w:rPr>
          <w:b/>
          <w:bCs/>
        </w:rPr>
        <w:t>12</w:t>
      </w:r>
      <w:r w:rsidR="001F7705">
        <w:t xml:space="preserve"> </w:t>
      </w:r>
      <w:r w:rsidR="00AC1DDF">
        <w:t>–</w:t>
      </w:r>
      <w:r>
        <w:t xml:space="preserve"> </w:t>
      </w:r>
      <w:r w:rsidRPr="00A86EA0">
        <w:t xml:space="preserve">The group recommends the individual </w:t>
      </w:r>
      <w:r w:rsidR="00AC1DDF" w:rsidRPr="00A86EA0">
        <w:t xml:space="preserve">in the moratorium </w:t>
      </w:r>
      <w:r w:rsidR="004207B6" w:rsidRPr="00A86EA0">
        <w:t>is</w:t>
      </w:r>
      <w:r w:rsidR="00E15482" w:rsidRPr="00A86EA0">
        <w:t xml:space="preserve"> obligated to adhere to </w:t>
      </w:r>
      <w:r w:rsidR="00D218A6" w:rsidRPr="00A86EA0">
        <w:t>section 218(13) of the Bankruptcy (Scotland) Act 2016 and</w:t>
      </w:r>
      <w:r w:rsidR="00A4119F" w:rsidRPr="00A86EA0">
        <w:t xml:space="preserve"> </w:t>
      </w:r>
      <w:r w:rsidR="00AC1DDF" w:rsidRPr="00A86EA0">
        <w:t>not obtain credit</w:t>
      </w:r>
      <w:r w:rsidRPr="00A86EA0">
        <w:t xml:space="preserve"> </w:t>
      </w:r>
      <w:r w:rsidR="00733A44" w:rsidRPr="00A86EA0">
        <w:t xml:space="preserve">above the limit </w:t>
      </w:r>
      <w:r w:rsidR="00D218A6" w:rsidRPr="00A86EA0">
        <w:t xml:space="preserve">in this section unless they notify </w:t>
      </w:r>
      <w:r w:rsidR="00AB0980" w:rsidRPr="00A86EA0">
        <w:rPr>
          <w:rFonts w:cs="Arial"/>
          <w:color w:val="000000"/>
          <w:shd w:val="clear" w:color="auto" w:fill="FFFFFF"/>
        </w:rPr>
        <w:t>the person from whom the credit is obtained about their moratorium.</w:t>
      </w:r>
      <w:r w:rsidR="00733A44" w:rsidRPr="00A86EA0">
        <w:t xml:space="preserve"> </w:t>
      </w:r>
    </w:p>
    <w:p w14:paraId="2E457C22" w14:textId="10FA6A57" w:rsidR="005F2797" w:rsidRPr="00544291" w:rsidRDefault="00C961A1" w:rsidP="005F3B2F">
      <w:pPr>
        <w:pStyle w:val="Heading2"/>
      </w:pPr>
      <w:bookmarkStart w:id="26" w:name="_Toc135390768"/>
      <w:bookmarkStart w:id="27" w:name="_Toc137650314"/>
      <w:bookmarkStart w:id="28" w:name="_Toc142992105"/>
      <w:r>
        <w:rPr>
          <w:rFonts w:eastAsia="Arial"/>
        </w:rPr>
        <w:t xml:space="preserve">Exit </w:t>
      </w:r>
      <w:r w:rsidR="00AC2B36">
        <w:rPr>
          <w:rFonts w:eastAsia="Arial"/>
        </w:rPr>
        <w:t>process</w:t>
      </w:r>
      <w:bookmarkEnd w:id="26"/>
      <w:bookmarkEnd w:id="27"/>
      <w:bookmarkEnd w:id="28"/>
    </w:p>
    <w:p w14:paraId="0A6F5405" w14:textId="34435CFC" w:rsidR="00FD09CE" w:rsidRDefault="005F2797" w:rsidP="005F3B2F">
      <w:pPr>
        <w:pStyle w:val="Heading3"/>
      </w:pPr>
      <w:r w:rsidRPr="008E2E0E">
        <w:rPr>
          <w:rFonts w:eastAsia="Arial"/>
        </w:rPr>
        <w:t>Discussion</w:t>
      </w:r>
      <w:r w:rsidRPr="004C2962">
        <w:rPr>
          <w:rFonts w:eastAsia="Arial"/>
          <w:bCs/>
        </w:rPr>
        <w:t xml:space="preserve"> </w:t>
      </w:r>
    </w:p>
    <w:p w14:paraId="426FEADA" w14:textId="39D6D880" w:rsidR="00DF4612" w:rsidRDefault="00DF4612" w:rsidP="00F63159">
      <w:pPr>
        <w:pStyle w:val="Normalnumbered"/>
      </w:pPr>
      <w:r>
        <w:t xml:space="preserve">As stated previously the group believe </w:t>
      </w:r>
      <w:r w:rsidR="008E3A70">
        <w:t xml:space="preserve">having two </w:t>
      </w:r>
      <w:r w:rsidR="00CE6D16">
        <w:t>consecutive</w:t>
      </w:r>
      <w:r w:rsidR="008E3A70">
        <w:t xml:space="preserve"> protection periods </w:t>
      </w:r>
      <w:r w:rsidR="008E3A70" w:rsidRPr="008C43DE">
        <w:t xml:space="preserve">is the most appropriate approach to a </w:t>
      </w:r>
      <w:r w:rsidR="00DF7BC5" w:rsidRPr="008C43DE">
        <w:t>MHM</w:t>
      </w:r>
      <w:r w:rsidR="008E3A70" w:rsidRPr="008C43DE">
        <w:t xml:space="preserve"> in Scotland. </w:t>
      </w:r>
      <w:r w:rsidR="00275642" w:rsidRPr="008C43DE">
        <w:t>In accordance with the 2003 Act</w:t>
      </w:r>
      <w:r w:rsidR="00AB33D3" w:rsidRPr="008C43DE">
        <w:t xml:space="preserve">, </w:t>
      </w:r>
      <w:r w:rsidR="006446B6" w:rsidRPr="008C43DE">
        <w:t>medical officer</w:t>
      </w:r>
      <w:r w:rsidR="0047231F" w:rsidRPr="008C43DE">
        <w:t>s</w:t>
      </w:r>
      <w:r w:rsidR="00AB33D3" w:rsidRPr="008C43DE">
        <w:t xml:space="preserve"> are required to notify a prescribed list of individuals on</w:t>
      </w:r>
      <w:r w:rsidR="00275642" w:rsidRPr="008C43DE">
        <w:t xml:space="preserve"> completion of the </w:t>
      </w:r>
      <w:r w:rsidR="00D44F6B" w:rsidRPr="008C43DE">
        <w:t xml:space="preserve">compulsory aspect of the </w:t>
      </w:r>
      <w:r w:rsidR="00AB33D3" w:rsidRPr="008C43DE">
        <w:t>patient’s</w:t>
      </w:r>
      <w:r w:rsidR="00275642" w:rsidRPr="008C43DE">
        <w:t xml:space="preserve"> treatment</w:t>
      </w:r>
      <w:r w:rsidR="00AB33D3" w:rsidRPr="008C43DE">
        <w:t>.</w:t>
      </w:r>
      <w:r w:rsidR="00993A04" w:rsidRPr="008C43DE">
        <w:t xml:space="preserve"> The </w:t>
      </w:r>
      <w:r w:rsidR="00F934B4" w:rsidRPr="008C43DE">
        <w:t xml:space="preserve">working </w:t>
      </w:r>
      <w:r w:rsidR="00993A04" w:rsidRPr="008C43DE">
        <w:t xml:space="preserve">group believe it would be appropriate for the prescribed list to include </w:t>
      </w:r>
      <w:r w:rsidR="003275BE" w:rsidRPr="008C43DE">
        <w:t>AiB and</w:t>
      </w:r>
      <w:r w:rsidR="00EF31ED" w:rsidRPr="008C43DE">
        <w:t xml:space="preserve">, potentially, the debt adviser. This would allow </w:t>
      </w:r>
      <w:r w:rsidR="00AA30F7" w:rsidRPr="008C43DE">
        <w:t>a smooth transition into the additional protection period.</w:t>
      </w:r>
    </w:p>
    <w:p w14:paraId="0BBFB197" w14:textId="21A17B81" w:rsidR="00CF338B" w:rsidRDefault="00E44738" w:rsidP="00F63159">
      <w:pPr>
        <w:pStyle w:val="Normalnumbered"/>
      </w:pPr>
      <w:r>
        <w:t>The review process in MH</w:t>
      </w:r>
      <w:r w:rsidR="0047231F">
        <w:t>C</w:t>
      </w:r>
      <w:r>
        <w:t xml:space="preserve">BS in England and Wales was discussed by the group to </w:t>
      </w:r>
      <w:r w:rsidR="00A65BB2">
        <w:t>consider whether</w:t>
      </w:r>
      <w:r>
        <w:t xml:space="preserve"> this should be implement</w:t>
      </w:r>
      <w:r w:rsidR="0047231F">
        <w:t>ed</w:t>
      </w:r>
      <w:r>
        <w:t xml:space="preserve"> into the Scottish process. </w:t>
      </w:r>
      <w:r>
        <w:lastRenderedPageBreak/>
        <w:t xml:space="preserve">Members thought this would depend on the purpose of the review. If the review was to distinguish that the </w:t>
      </w:r>
      <w:r w:rsidR="00A65BB2">
        <w:t>treatment (</w:t>
      </w:r>
      <w:r>
        <w:t>crisis</w:t>
      </w:r>
      <w:r w:rsidR="00A65BB2">
        <w:t>)</w:t>
      </w:r>
      <w:r>
        <w:t xml:space="preserve"> period was over then this should be decided by the mental health professional. </w:t>
      </w:r>
    </w:p>
    <w:p w14:paraId="3EEFC27E" w14:textId="2519B369" w:rsidR="008F5D24" w:rsidRPr="008C43DE" w:rsidRDefault="00A65BB2" w:rsidP="00F63159">
      <w:pPr>
        <w:pStyle w:val="Normalnumbered"/>
      </w:pPr>
      <w:r>
        <w:t>In accordance with the 2003 Act</w:t>
      </w:r>
      <w:r w:rsidR="001305F7">
        <w:t>,</w:t>
      </w:r>
      <w:r w:rsidR="002E0B9D">
        <w:t xml:space="preserve"> </w:t>
      </w:r>
      <w:r w:rsidR="008F5D24">
        <w:t>a</w:t>
      </w:r>
      <w:r w:rsidR="004207B6">
        <w:t>n MHO</w:t>
      </w:r>
      <w:r w:rsidR="008F5D24">
        <w:t xml:space="preserve"> is required to</w:t>
      </w:r>
      <w:r w:rsidR="00CF338B">
        <w:t xml:space="preserve"> undertake a review of the individual</w:t>
      </w:r>
      <w:r w:rsidR="00C32770">
        <w:t xml:space="preserve"> if </w:t>
      </w:r>
      <w:r w:rsidR="00A873BC">
        <w:t>the order is to be extended beyond the legislative time limits (for example 6 months for a CTO)</w:t>
      </w:r>
      <w:r w:rsidR="00631B26">
        <w:t xml:space="preserve">. </w:t>
      </w:r>
      <w:r w:rsidR="007961C8">
        <w:t xml:space="preserve">The MHO </w:t>
      </w:r>
      <w:r w:rsidR="00C07A30">
        <w:t xml:space="preserve">must submit their review to the Tribunal who are required to review the MHO’s determination. </w:t>
      </w:r>
      <w:r w:rsidR="008F27B6">
        <w:t>If the order is to end</w:t>
      </w:r>
      <w:r w:rsidR="1FFC7E3C">
        <w:t>,</w:t>
      </w:r>
      <w:r w:rsidR="008F27B6">
        <w:t xml:space="preserve"> the MHO must</w:t>
      </w:r>
      <w:r w:rsidR="00C64715">
        <w:t xml:space="preserve"> </w:t>
      </w:r>
      <w:r w:rsidR="00045265">
        <w:t xml:space="preserve">notify a list of individuals and organisations that the individual’s </w:t>
      </w:r>
      <w:r w:rsidR="00C9448B">
        <w:t xml:space="preserve">order </w:t>
      </w:r>
      <w:r w:rsidR="00045265">
        <w:t xml:space="preserve">has </w:t>
      </w:r>
      <w:r w:rsidR="00045265" w:rsidRPr="008C43DE">
        <w:t>ended</w:t>
      </w:r>
      <w:r w:rsidR="002E0B9D" w:rsidRPr="008C43DE">
        <w:t>.</w:t>
      </w:r>
      <w:r w:rsidR="008F5D24" w:rsidRPr="008C43DE">
        <w:t xml:space="preserve"> </w:t>
      </w:r>
    </w:p>
    <w:p w14:paraId="28396803" w14:textId="1B66F2FE" w:rsidR="00E44738" w:rsidRPr="008C43DE" w:rsidRDefault="00E44738" w:rsidP="00F63159">
      <w:pPr>
        <w:pStyle w:val="Normalnumbered"/>
        <w:rPr>
          <w:b/>
          <w:bCs/>
        </w:rPr>
      </w:pPr>
      <w:r w:rsidRPr="008C43DE">
        <w:t>If the review was on the individual’s financial situation</w:t>
      </w:r>
      <w:r w:rsidR="004207B6" w:rsidRPr="008C43DE">
        <w:t>,</w:t>
      </w:r>
      <w:r w:rsidRPr="008C43DE">
        <w:t xml:space="preserve"> then this should be undertaken in the second stage of the moratorium by a </w:t>
      </w:r>
      <w:r w:rsidR="008649DB" w:rsidRPr="008C43DE">
        <w:t>debt adviser</w:t>
      </w:r>
      <w:r w:rsidRPr="008C43DE">
        <w:t xml:space="preserve">. It was agreed that the individual’s </w:t>
      </w:r>
      <w:r w:rsidRPr="008C43DE">
        <w:rPr>
          <w:rFonts w:cs="Arial"/>
        </w:rPr>
        <w:t>financial situation should not be reviewed</w:t>
      </w:r>
      <w:r w:rsidR="00E30AB7" w:rsidRPr="008C43DE">
        <w:rPr>
          <w:rFonts w:cs="Arial"/>
        </w:rPr>
        <w:t xml:space="preserve">, unless </w:t>
      </w:r>
      <w:r w:rsidR="001A7264" w:rsidRPr="008C43DE">
        <w:rPr>
          <w:rFonts w:cs="Arial"/>
        </w:rPr>
        <w:t>instigated by the individual,</w:t>
      </w:r>
      <w:r w:rsidRPr="008C43DE">
        <w:rPr>
          <w:rFonts w:cs="Arial"/>
        </w:rPr>
        <w:t xml:space="preserve"> until the initial crisis period had finished</w:t>
      </w:r>
      <w:r w:rsidR="00957270" w:rsidRPr="008C43DE">
        <w:rPr>
          <w:rFonts w:cs="Arial"/>
        </w:rPr>
        <w:t xml:space="preserve"> and was noted</w:t>
      </w:r>
      <w:r w:rsidR="00E426E3" w:rsidRPr="008C43DE">
        <w:rPr>
          <w:rFonts w:cs="Arial"/>
        </w:rPr>
        <w:t>,</w:t>
      </w:r>
      <w:r w:rsidR="00957270" w:rsidRPr="008C43DE">
        <w:rPr>
          <w:rFonts w:cs="Arial"/>
        </w:rPr>
        <w:t xml:space="preserve"> by some</w:t>
      </w:r>
      <w:r w:rsidR="00E426E3" w:rsidRPr="008C43DE">
        <w:rPr>
          <w:rFonts w:cs="Arial"/>
        </w:rPr>
        <w:t>,</w:t>
      </w:r>
      <w:r w:rsidR="00957270" w:rsidRPr="008C43DE">
        <w:rPr>
          <w:rFonts w:cs="Arial"/>
        </w:rPr>
        <w:t xml:space="preserve"> that it should </w:t>
      </w:r>
      <w:r w:rsidR="00957270" w:rsidRPr="008C43DE">
        <w:rPr>
          <w:rStyle w:val="cf01"/>
          <w:rFonts w:ascii="Arial" w:hAnsi="Arial" w:cs="Arial"/>
          <w:sz w:val="24"/>
          <w:szCs w:val="24"/>
        </w:rPr>
        <w:t xml:space="preserve">not add to the individual nor </w:t>
      </w:r>
      <w:r w:rsidR="00E426E3" w:rsidRPr="008C43DE">
        <w:rPr>
          <w:rStyle w:val="cf01"/>
          <w:rFonts w:ascii="Arial" w:hAnsi="Arial" w:cs="Arial"/>
          <w:sz w:val="24"/>
          <w:szCs w:val="24"/>
        </w:rPr>
        <w:t xml:space="preserve">the </w:t>
      </w:r>
      <w:r w:rsidR="00957270" w:rsidRPr="008C43DE">
        <w:rPr>
          <w:rStyle w:val="cf01"/>
          <w:rFonts w:ascii="Arial" w:hAnsi="Arial" w:cs="Arial"/>
          <w:sz w:val="24"/>
          <w:szCs w:val="24"/>
        </w:rPr>
        <w:t>money adviser's burden</w:t>
      </w:r>
      <w:r w:rsidRPr="008C43DE">
        <w:rPr>
          <w:rFonts w:cs="Arial"/>
        </w:rPr>
        <w:t>.</w:t>
      </w:r>
      <w:r w:rsidRPr="008C43DE">
        <w:t xml:space="preserve"> </w:t>
      </w:r>
    </w:p>
    <w:p w14:paraId="51DE902D" w14:textId="377AF193" w:rsidR="008F5D24" w:rsidRPr="00B2204C" w:rsidRDefault="00E44738" w:rsidP="00F63159">
      <w:pPr>
        <w:pStyle w:val="Normalnumbered"/>
        <w:rPr>
          <w:rStyle w:val="cf01"/>
          <w:rFonts w:ascii="Arial" w:hAnsi="Arial" w:cstheme="minorBidi"/>
          <w:sz w:val="24"/>
          <w:szCs w:val="24"/>
        </w:rPr>
      </w:pPr>
      <w:r w:rsidRPr="008C43DE">
        <w:t>It was, however, recognised that a review could provide creditors with comfort by confirming the individual was attempting to address their debt issues after the initial crisis period.</w:t>
      </w:r>
      <w:r w:rsidR="00804C0E" w:rsidRPr="008C43DE">
        <w:t xml:space="preserve"> </w:t>
      </w:r>
      <w:r w:rsidR="009C0436" w:rsidRPr="008C43DE">
        <w:rPr>
          <w:rStyle w:val="cf01"/>
          <w:rFonts w:ascii="Arial" w:hAnsi="Arial" w:cs="Arial"/>
          <w:sz w:val="24"/>
          <w:szCs w:val="24"/>
        </w:rPr>
        <w:t>In addition</w:t>
      </w:r>
      <w:r w:rsidR="00AF1C23" w:rsidRPr="008C43DE">
        <w:rPr>
          <w:rStyle w:val="cf01"/>
          <w:rFonts w:ascii="Arial" w:hAnsi="Arial" w:cs="Arial"/>
          <w:sz w:val="24"/>
          <w:szCs w:val="24"/>
        </w:rPr>
        <w:t>,</w:t>
      </w:r>
      <w:r w:rsidR="009C0436" w:rsidRPr="008C43DE">
        <w:rPr>
          <w:rStyle w:val="cf01"/>
          <w:rFonts w:ascii="Arial" w:hAnsi="Arial" w:cs="Arial"/>
          <w:sz w:val="24"/>
          <w:szCs w:val="24"/>
        </w:rPr>
        <w:t xml:space="preserve"> </w:t>
      </w:r>
      <w:r w:rsidR="00AF1C23" w:rsidRPr="008C43DE">
        <w:rPr>
          <w:rStyle w:val="cf01"/>
          <w:rFonts w:ascii="Arial" w:hAnsi="Arial" w:cs="Arial"/>
          <w:sz w:val="24"/>
          <w:szCs w:val="24"/>
        </w:rPr>
        <w:t>it was acknowledge</w:t>
      </w:r>
      <w:r w:rsidR="00DF7BC5" w:rsidRPr="008C43DE">
        <w:rPr>
          <w:rStyle w:val="cf01"/>
          <w:rFonts w:ascii="Arial" w:hAnsi="Arial" w:cs="Arial"/>
          <w:sz w:val="24"/>
          <w:szCs w:val="24"/>
        </w:rPr>
        <w:t>d</w:t>
      </w:r>
      <w:r w:rsidR="00AF1C23" w:rsidRPr="008C43DE">
        <w:rPr>
          <w:rStyle w:val="cf01"/>
          <w:rFonts w:ascii="Arial" w:hAnsi="Arial" w:cs="Arial"/>
          <w:sz w:val="24"/>
          <w:szCs w:val="24"/>
        </w:rPr>
        <w:t xml:space="preserve"> that </w:t>
      </w:r>
      <w:r w:rsidR="009C0436" w:rsidRPr="008C43DE">
        <w:rPr>
          <w:rStyle w:val="cf01"/>
          <w:rFonts w:ascii="Arial" w:hAnsi="Arial" w:cs="Arial"/>
          <w:sz w:val="24"/>
          <w:szCs w:val="24"/>
        </w:rPr>
        <w:t xml:space="preserve">communication between creditors and advisers </w:t>
      </w:r>
      <w:r w:rsidR="00AF1C23" w:rsidRPr="008C43DE">
        <w:rPr>
          <w:rStyle w:val="cf01"/>
          <w:rFonts w:ascii="Arial" w:hAnsi="Arial" w:cs="Arial"/>
          <w:sz w:val="24"/>
          <w:szCs w:val="24"/>
        </w:rPr>
        <w:t>should be required during this additional protection period</w:t>
      </w:r>
      <w:r w:rsidR="00067517" w:rsidRPr="008C43DE">
        <w:rPr>
          <w:rStyle w:val="cf01"/>
          <w:rFonts w:ascii="Arial" w:hAnsi="Arial" w:cs="Arial"/>
          <w:sz w:val="24"/>
          <w:szCs w:val="24"/>
        </w:rPr>
        <w:t>,</w:t>
      </w:r>
      <w:r w:rsidR="009C0436" w:rsidRPr="008C43DE">
        <w:rPr>
          <w:rStyle w:val="cf01"/>
          <w:rFonts w:ascii="Arial" w:hAnsi="Arial" w:cs="Arial"/>
          <w:sz w:val="24"/>
          <w:szCs w:val="24"/>
        </w:rPr>
        <w:t xml:space="preserve"> </w:t>
      </w:r>
      <w:r w:rsidR="00067517" w:rsidRPr="008C43DE">
        <w:rPr>
          <w:rStyle w:val="cf01"/>
          <w:rFonts w:ascii="Arial" w:hAnsi="Arial" w:cs="Arial"/>
          <w:sz w:val="24"/>
          <w:szCs w:val="24"/>
        </w:rPr>
        <w:t>however,</w:t>
      </w:r>
      <w:r w:rsidR="009C0436" w:rsidRPr="008C43DE">
        <w:rPr>
          <w:rStyle w:val="cf01"/>
          <w:rFonts w:ascii="Arial" w:hAnsi="Arial" w:cs="Arial"/>
          <w:sz w:val="24"/>
          <w:szCs w:val="24"/>
        </w:rPr>
        <w:t xml:space="preserve"> advisers and individuals under a </w:t>
      </w:r>
      <w:r w:rsidR="00067517" w:rsidRPr="008C43DE">
        <w:rPr>
          <w:rStyle w:val="cf01"/>
          <w:rFonts w:ascii="Arial" w:hAnsi="Arial" w:cs="Arial"/>
          <w:sz w:val="24"/>
          <w:szCs w:val="24"/>
        </w:rPr>
        <w:t>MHM</w:t>
      </w:r>
      <w:r w:rsidR="009C0436" w:rsidRPr="008C43DE">
        <w:rPr>
          <w:rStyle w:val="cf01"/>
          <w:rFonts w:ascii="Arial" w:hAnsi="Arial" w:cs="Arial"/>
          <w:sz w:val="24"/>
          <w:szCs w:val="24"/>
        </w:rPr>
        <w:t xml:space="preserve"> must be given space, time and compassion to readjust after </w:t>
      </w:r>
      <w:r w:rsidR="00067517" w:rsidRPr="008C43DE">
        <w:rPr>
          <w:rStyle w:val="cf01"/>
          <w:rFonts w:ascii="Arial" w:hAnsi="Arial" w:cs="Arial"/>
          <w:sz w:val="24"/>
          <w:szCs w:val="24"/>
        </w:rPr>
        <w:t>the individual’s</w:t>
      </w:r>
      <w:r w:rsidR="009C0436" w:rsidRPr="008C43DE">
        <w:rPr>
          <w:rStyle w:val="cf01"/>
          <w:rFonts w:ascii="Arial" w:hAnsi="Arial" w:cs="Arial"/>
          <w:sz w:val="24"/>
          <w:szCs w:val="24"/>
        </w:rPr>
        <w:t xml:space="preserve"> treatment.</w:t>
      </w:r>
      <w:r w:rsidR="00B2204C">
        <w:rPr>
          <w:rStyle w:val="cf01"/>
          <w:rFonts w:ascii="Arial" w:hAnsi="Arial" w:cs="Arial"/>
          <w:sz w:val="24"/>
          <w:szCs w:val="24"/>
        </w:rPr>
        <w:t xml:space="preserve"> </w:t>
      </w:r>
    </w:p>
    <w:p w14:paraId="029275BD" w14:textId="153AC37F" w:rsidR="00B2204C" w:rsidRPr="000A5FC7" w:rsidRDefault="00B2204C" w:rsidP="00F63159">
      <w:pPr>
        <w:pStyle w:val="Normalnumbered"/>
      </w:pPr>
      <w:r w:rsidRPr="000A5FC7">
        <w:rPr>
          <w:shd w:val="clear" w:color="auto" w:fill="FFFFFF"/>
        </w:rPr>
        <w:t>Some members of the group have suggested that there needs to be an ability for creditors to challenge the MHM or request it be cancelled. While they acknowledge the in-built review process to a CTO, for example, they still believe it is necessary for creditors and the courts to be able to make a decision that is in the interests of all parties concerned with the MHM</w:t>
      </w:r>
      <w:r w:rsidR="007D7113" w:rsidRPr="000A5FC7">
        <w:rPr>
          <w:shd w:val="clear" w:color="auto" w:fill="FFFFFF"/>
        </w:rPr>
        <w:t xml:space="preserve"> and would suggest this is further considered during the development of MHM in Scotland</w:t>
      </w:r>
      <w:r w:rsidRPr="000A5FC7">
        <w:rPr>
          <w:shd w:val="clear" w:color="auto" w:fill="FFFFFF"/>
        </w:rPr>
        <w:t>.</w:t>
      </w:r>
    </w:p>
    <w:p w14:paraId="730D3043" w14:textId="101DE3C9" w:rsidR="004E56DF" w:rsidRPr="008C43DE" w:rsidRDefault="008F5D24" w:rsidP="00F63159">
      <w:pPr>
        <w:pStyle w:val="Normalnumbered"/>
      </w:pPr>
      <w:r w:rsidRPr="008C43DE">
        <w:t>On completion of the additional protection period</w:t>
      </w:r>
      <w:r w:rsidR="00921C4E" w:rsidRPr="008C43DE">
        <w:t xml:space="preserve">, and the </w:t>
      </w:r>
      <w:r w:rsidR="00DF7BC5" w:rsidRPr="008C43DE">
        <w:t>MHM</w:t>
      </w:r>
      <w:r w:rsidR="00DD49F7" w:rsidRPr="008C43DE">
        <w:t xml:space="preserve">, </w:t>
      </w:r>
      <w:r w:rsidR="009818E8" w:rsidRPr="008C43DE">
        <w:t xml:space="preserve">creditors would be entitled to pursue the individual for the debt </w:t>
      </w:r>
      <w:r w:rsidR="00841A92">
        <w:t xml:space="preserve">and charges </w:t>
      </w:r>
      <w:r w:rsidR="009818E8" w:rsidRPr="008C43DE">
        <w:t>due a</w:t>
      </w:r>
      <w:r w:rsidR="00841A92">
        <w:t>s well as</w:t>
      </w:r>
      <w:r w:rsidR="009818E8" w:rsidRPr="008C43DE">
        <w:t xml:space="preserve"> </w:t>
      </w:r>
      <w:r w:rsidR="009818E8" w:rsidRPr="008C43DE">
        <w:lastRenderedPageBreak/>
        <w:t>apply interest</w:t>
      </w:r>
      <w:r w:rsidR="0078260F">
        <w:t>,</w:t>
      </w:r>
      <w:r w:rsidR="0009059A" w:rsidRPr="008C43DE">
        <w:t xml:space="preserve"> </w:t>
      </w:r>
      <w:r w:rsidR="0009059A" w:rsidRPr="008C43DE">
        <w:rPr>
          <w:rFonts w:cs="Arial"/>
        </w:rPr>
        <w:t>i</w:t>
      </w:r>
      <w:r w:rsidR="0009059A" w:rsidRPr="008C43DE">
        <w:rPr>
          <w:rStyle w:val="cf01"/>
          <w:rFonts w:ascii="Arial" w:hAnsi="Arial" w:cs="Arial"/>
          <w:sz w:val="24"/>
          <w:szCs w:val="24"/>
        </w:rPr>
        <w:t xml:space="preserve">f </w:t>
      </w:r>
      <w:r w:rsidR="0078260F">
        <w:rPr>
          <w:rStyle w:val="cf01"/>
          <w:rFonts w:ascii="Arial" w:hAnsi="Arial" w:cs="Arial"/>
          <w:sz w:val="24"/>
          <w:szCs w:val="24"/>
        </w:rPr>
        <w:t>this</w:t>
      </w:r>
      <w:r w:rsidR="00F63159">
        <w:rPr>
          <w:rStyle w:val="cf01"/>
          <w:rFonts w:ascii="Arial" w:hAnsi="Arial" w:cs="Arial"/>
          <w:sz w:val="24"/>
          <w:szCs w:val="24"/>
        </w:rPr>
        <w:t xml:space="preserve"> </w:t>
      </w:r>
      <w:r w:rsidR="0009059A" w:rsidRPr="008C43DE">
        <w:rPr>
          <w:rStyle w:val="cf01"/>
          <w:rFonts w:ascii="Arial" w:hAnsi="Arial" w:cs="Arial"/>
          <w:sz w:val="24"/>
          <w:szCs w:val="24"/>
        </w:rPr>
        <w:t xml:space="preserve">is </w:t>
      </w:r>
      <w:r w:rsidR="0018653F">
        <w:rPr>
          <w:rStyle w:val="cf01"/>
          <w:rFonts w:ascii="Arial" w:hAnsi="Arial" w:cs="Arial"/>
          <w:sz w:val="24"/>
          <w:szCs w:val="24"/>
        </w:rPr>
        <w:t>a protection provided in</w:t>
      </w:r>
      <w:r w:rsidR="0009059A" w:rsidRPr="008C43DE">
        <w:rPr>
          <w:rStyle w:val="cf01"/>
          <w:rFonts w:ascii="Arial" w:hAnsi="Arial" w:cs="Arial"/>
          <w:sz w:val="24"/>
          <w:szCs w:val="24"/>
        </w:rPr>
        <w:t xml:space="preserve"> the extended 6 months</w:t>
      </w:r>
      <w:r w:rsidR="0018653F">
        <w:rPr>
          <w:rStyle w:val="cf01"/>
          <w:rFonts w:ascii="Arial" w:hAnsi="Arial" w:cs="Arial"/>
          <w:sz w:val="24"/>
          <w:szCs w:val="24"/>
        </w:rPr>
        <w:t>,</w:t>
      </w:r>
      <w:r w:rsidR="009818E8" w:rsidRPr="008C43DE">
        <w:rPr>
          <w:rFonts w:cs="Arial"/>
        </w:rPr>
        <w:t xml:space="preserve"> </w:t>
      </w:r>
      <w:r w:rsidR="009818E8" w:rsidRPr="008C43DE">
        <w:t>unless the individual ha</w:t>
      </w:r>
      <w:r w:rsidR="00826ACA" w:rsidRPr="008C43DE">
        <w:t>s</w:t>
      </w:r>
      <w:r w:rsidR="009818E8" w:rsidRPr="008C43DE">
        <w:t xml:space="preserve"> obtained further protection through </w:t>
      </w:r>
      <w:r w:rsidR="00826ACA" w:rsidRPr="008C43DE">
        <w:t>the following:</w:t>
      </w:r>
    </w:p>
    <w:p w14:paraId="2721BE4F" w14:textId="04099345" w:rsidR="00826ACA" w:rsidRDefault="004E56DF" w:rsidP="00D70313">
      <w:pPr>
        <w:pStyle w:val="Bulletpoints"/>
      </w:pPr>
      <w:r>
        <w:t>e</w:t>
      </w:r>
      <w:r w:rsidR="00826ACA">
        <w:t>ntered a statutory debt solution</w:t>
      </w:r>
    </w:p>
    <w:p w14:paraId="59736E91" w14:textId="0F5F6D4C" w:rsidR="00826ACA" w:rsidRDefault="004E56DF" w:rsidP="00D70313">
      <w:pPr>
        <w:pStyle w:val="Bulletpoints"/>
      </w:pPr>
      <w:r>
        <w:t>a</w:t>
      </w:r>
      <w:r w:rsidR="00826ACA">
        <w:t xml:space="preserve">pplied for a debt solution and </w:t>
      </w:r>
      <w:r w:rsidR="0047231F">
        <w:t xml:space="preserve">is </w:t>
      </w:r>
      <w:r w:rsidR="00826ACA">
        <w:t>awaiting the outcome of their application</w:t>
      </w:r>
    </w:p>
    <w:p w14:paraId="2A2C1CE7" w14:textId="004E32B0" w:rsidR="00F9554C" w:rsidRPr="004E56DF" w:rsidRDefault="004E56DF" w:rsidP="00D70313">
      <w:pPr>
        <w:pStyle w:val="bulletsafter18"/>
      </w:pPr>
      <w:r>
        <w:t>entered into an agreement with those creditors</w:t>
      </w:r>
    </w:p>
    <w:p w14:paraId="7B5A21F0" w14:textId="77777777" w:rsidR="004B776F" w:rsidRDefault="00744F23" w:rsidP="005F3B2F">
      <w:pPr>
        <w:pStyle w:val="Heading3"/>
        <w:rPr>
          <w:rFonts w:eastAsia="Arial"/>
        </w:rPr>
      </w:pPr>
      <w:bookmarkStart w:id="29" w:name="_Toc100244829"/>
      <w:r w:rsidRPr="008E2E0E">
        <w:rPr>
          <w:rFonts w:eastAsia="Arial"/>
        </w:rPr>
        <w:t>Recommendation</w:t>
      </w:r>
    </w:p>
    <w:p w14:paraId="76FE12DB" w14:textId="2A064F17" w:rsidR="00744F23" w:rsidRPr="004B776F" w:rsidRDefault="004B776F" w:rsidP="00D70313">
      <w:pPr>
        <w:pStyle w:val="bulletsafter18"/>
      </w:pPr>
      <w:r w:rsidRPr="71410F71">
        <w:rPr>
          <w:b/>
          <w:bCs/>
        </w:rPr>
        <w:t xml:space="preserve">Recommendation </w:t>
      </w:r>
      <w:r w:rsidR="001F7705" w:rsidRPr="71410F71">
        <w:rPr>
          <w:b/>
          <w:bCs/>
        </w:rPr>
        <w:t>1</w:t>
      </w:r>
      <w:r w:rsidR="001F7705">
        <w:rPr>
          <w:b/>
          <w:bCs/>
        </w:rPr>
        <w:t>3</w:t>
      </w:r>
      <w:r w:rsidR="001F7705">
        <w:t xml:space="preserve"> </w:t>
      </w:r>
      <w:r>
        <w:t>- The group recommends th</w:t>
      </w:r>
      <w:r w:rsidR="00C90CE9">
        <w:t xml:space="preserve">e 2003 Act </w:t>
      </w:r>
      <w:r w:rsidR="004207B6">
        <w:t>is</w:t>
      </w:r>
      <w:r w:rsidR="00C90CE9">
        <w:t xml:space="preserve"> amended to </w:t>
      </w:r>
      <w:r w:rsidR="00AA4DDB">
        <w:t>require a</w:t>
      </w:r>
      <w:r w:rsidR="004207B6">
        <w:t>n</w:t>
      </w:r>
      <w:r w:rsidR="00AA4DDB">
        <w:t xml:space="preserve"> MHO</w:t>
      </w:r>
      <w:r w:rsidR="0047231F">
        <w:t xml:space="preserve"> to </w:t>
      </w:r>
      <w:r w:rsidR="00AA4DDB">
        <w:t xml:space="preserve">contact AiB, and the debt adviser, on completion of the individual’s CTO or short-term detention where they are in a </w:t>
      </w:r>
      <w:r w:rsidR="00DF7BC5">
        <w:t>MHM</w:t>
      </w:r>
      <w:r>
        <w:t xml:space="preserve">. </w:t>
      </w:r>
    </w:p>
    <w:p w14:paraId="59681038" w14:textId="5CB4F346" w:rsidR="006416F3" w:rsidRPr="00544291" w:rsidRDefault="006416F3" w:rsidP="00B02B3D">
      <w:pPr>
        <w:pStyle w:val="Heading1"/>
      </w:pPr>
      <w:bookmarkStart w:id="30" w:name="_Toc135390769"/>
      <w:bookmarkStart w:id="31" w:name="_Toc137650315"/>
      <w:bookmarkStart w:id="32" w:name="_Toc142992106"/>
      <w:r>
        <w:rPr>
          <w:rFonts w:eastAsia="Arial"/>
        </w:rPr>
        <w:t>G</w:t>
      </w:r>
      <w:r w:rsidR="00544291">
        <w:rPr>
          <w:rFonts w:eastAsia="Arial"/>
        </w:rPr>
        <w:t xml:space="preserve">roup </w:t>
      </w:r>
      <w:r w:rsidR="00FB65C2">
        <w:rPr>
          <w:rFonts w:eastAsia="Arial"/>
        </w:rPr>
        <w:t>m</w:t>
      </w:r>
      <w:r w:rsidR="00544291">
        <w:rPr>
          <w:rFonts w:eastAsia="Arial"/>
        </w:rPr>
        <w:t>embership</w:t>
      </w:r>
      <w:bookmarkEnd w:id="29"/>
      <w:bookmarkEnd w:id="30"/>
      <w:bookmarkEnd w:id="31"/>
      <w:bookmarkEnd w:id="32"/>
    </w:p>
    <w:p w14:paraId="7101F9B5" w14:textId="4FB1BCB7" w:rsidR="00001402" w:rsidRDefault="006416F3" w:rsidP="00F63159">
      <w:pPr>
        <w:pStyle w:val="Normalnumbered"/>
      </w:pPr>
      <w:r w:rsidRPr="006416F3">
        <w:t xml:space="preserve">With thanks to the members of the group who </w:t>
      </w:r>
      <w:r>
        <w:t xml:space="preserve">provided their </w:t>
      </w:r>
      <w:r w:rsidR="00882EB6">
        <w:t xml:space="preserve">valuable </w:t>
      </w:r>
      <w:r>
        <w:t xml:space="preserve">time and expertise and </w:t>
      </w:r>
      <w:r w:rsidRPr="006416F3">
        <w:t xml:space="preserve">led this work. </w:t>
      </w:r>
    </w:p>
    <w:p w14:paraId="66A00BF4" w14:textId="1EB8DBCA" w:rsidR="006416F3" w:rsidRPr="006416F3" w:rsidRDefault="001E7E0F" w:rsidP="00D70313">
      <w:pPr>
        <w:pStyle w:val="Bulletpoints"/>
      </w:pPr>
      <w:r>
        <w:t>Roger Smyth</w:t>
      </w:r>
      <w:r w:rsidR="006416F3" w:rsidRPr="006416F3">
        <w:t xml:space="preserve">, </w:t>
      </w:r>
      <w:r>
        <w:t>Royal College of Psychiat</w:t>
      </w:r>
      <w:r w:rsidR="0047231F">
        <w:t>rists</w:t>
      </w:r>
    </w:p>
    <w:p w14:paraId="24F773BF" w14:textId="75224DE1" w:rsidR="006416F3" w:rsidRPr="006416F3" w:rsidRDefault="001E7E0F" w:rsidP="00D70313">
      <w:pPr>
        <w:pStyle w:val="Bulletpoints"/>
      </w:pPr>
      <w:r>
        <w:t>Becca Stacey</w:t>
      </w:r>
      <w:r w:rsidR="006416F3" w:rsidRPr="006416F3">
        <w:t xml:space="preserve">, Money and </w:t>
      </w:r>
      <w:r w:rsidR="009F750D">
        <w:t>Mental Health Policy Institute</w:t>
      </w:r>
    </w:p>
    <w:p w14:paraId="442033A3" w14:textId="2517A03C" w:rsidR="006416F3" w:rsidRPr="006416F3" w:rsidRDefault="00910D06" w:rsidP="00D70313">
      <w:pPr>
        <w:pStyle w:val="Bulletpoints"/>
      </w:pPr>
      <w:r>
        <w:t>Charis Scott</w:t>
      </w:r>
      <w:r w:rsidR="006416F3" w:rsidRPr="006416F3">
        <w:t xml:space="preserve">, </w:t>
      </w:r>
      <w:r>
        <w:t>Christians Against Poverty</w:t>
      </w:r>
    </w:p>
    <w:p w14:paraId="2269D879" w14:textId="6EC495B4" w:rsidR="006416F3" w:rsidRPr="006416F3" w:rsidRDefault="006416F3" w:rsidP="00D70313">
      <w:pPr>
        <w:pStyle w:val="Bulletpoints"/>
      </w:pPr>
      <w:r w:rsidRPr="006416F3">
        <w:t>Abbey Fleming, M</w:t>
      </w:r>
      <w:r w:rsidR="0047231F">
        <w:t>oney Advice Scotland</w:t>
      </w:r>
    </w:p>
    <w:p w14:paraId="51A24EC8" w14:textId="6F965E8D" w:rsidR="006416F3" w:rsidRDefault="00561571" w:rsidP="00D70313">
      <w:pPr>
        <w:pStyle w:val="Bulletpoints"/>
      </w:pPr>
      <w:r>
        <w:t>Nick Clater, Social Work Scotland</w:t>
      </w:r>
    </w:p>
    <w:p w14:paraId="76B639EF" w14:textId="247ACF74" w:rsidR="00DB5862" w:rsidRPr="006416F3" w:rsidRDefault="00DB5862" w:rsidP="00D70313">
      <w:pPr>
        <w:pStyle w:val="Bulletpoints"/>
      </w:pPr>
      <w:r>
        <w:t>Jennifer Rezendes, Social Work Scotland</w:t>
      </w:r>
    </w:p>
    <w:p w14:paraId="5AB52AAB" w14:textId="30522988" w:rsidR="006416F3" w:rsidRPr="006416F3" w:rsidRDefault="00B3738D" w:rsidP="00D70313">
      <w:pPr>
        <w:pStyle w:val="Bulletpoints"/>
      </w:pPr>
      <w:r>
        <w:t>Debbie Smith-Hands, A</w:t>
      </w:r>
      <w:r w:rsidR="0047231F">
        <w:t>ssociation of British Credit Unions</w:t>
      </w:r>
    </w:p>
    <w:p w14:paraId="39DA378A" w14:textId="7A6813F4" w:rsidR="00B3738D" w:rsidRPr="006416F3" w:rsidRDefault="00B3738D" w:rsidP="00D70313">
      <w:pPr>
        <w:pStyle w:val="Bulletpoints"/>
      </w:pPr>
      <w:r w:rsidRPr="006416F3">
        <w:t>Sarah-Jayne Dunn, C</w:t>
      </w:r>
      <w:r w:rsidR="0047231F">
        <w:t>itizens Advice Scotland</w:t>
      </w:r>
    </w:p>
    <w:p w14:paraId="08FCD0D9" w14:textId="45D2D440" w:rsidR="00B3738D" w:rsidRPr="0044729E" w:rsidRDefault="00B3738D" w:rsidP="00D70313">
      <w:pPr>
        <w:pStyle w:val="Bulletpoints"/>
      </w:pPr>
      <w:r w:rsidRPr="006416F3">
        <w:t>Sharon Bell, StepChange</w:t>
      </w:r>
      <w:r w:rsidR="0047231F">
        <w:t xml:space="preserve"> Debt Charity Scotland</w:t>
      </w:r>
    </w:p>
    <w:p w14:paraId="57AC541C" w14:textId="77777777" w:rsidR="006416F3" w:rsidRPr="006416F3" w:rsidRDefault="006416F3" w:rsidP="00D70313">
      <w:pPr>
        <w:pStyle w:val="Bulletpoints"/>
      </w:pPr>
      <w:r w:rsidRPr="006416F3">
        <w:t>Ian Fiddeman, UK Finance</w:t>
      </w:r>
    </w:p>
    <w:p w14:paraId="09239CE7" w14:textId="762B2A0D" w:rsidR="006416F3" w:rsidRPr="006416F3" w:rsidRDefault="00B7612D" w:rsidP="00D70313">
      <w:pPr>
        <w:pStyle w:val="Bulletpoints"/>
      </w:pPr>
      <w:r>
        <w:t>Les Robertson, COSLA</w:t>
      </w:r>
    </w:p>
    <w:p w14:paraId="3646FE85" w14:textId="3C98925C" w:rsidR="006416F3" w:rsidRPr="006416F3" w:rsidRDefault="00B7612D" w:rsidP="00D70313">
      <w:pPr>
        <w:pStyle w:val="Bulletpoints"/>
      </w:pPr>
      <w:r>
        <w:t>Jonathan Sharma, COSLA</w:t>
      </w:r>
    </w:p>
    <w:p w14:paraId="5C9EFB6C" w14:textId="77DF2BBA" w:rsidR="006416F3" w:rsidRPr="006416F3" w:rsidRDefault="00B7612D" w:rsidP="00D70313">
      <w:pPr>
        <w:pStyle w:val="Bulletpoints"/>
      </w:pPr>
      <w:r>
        <w:lastRenderedPageBreak/>
        <w:t>Kira McDiarmid, Change Mental Health</w:t>
      </w:r>
    </w:p>
    <w:p w14:paraId="4FCB1C6B" w14:textId="620F99D4" w:rsidR="006416F3" w:rsidRDefault="48883EE4" w:rsidP="00D70313">
      <w:pPr>
        <w:pStyle w:val="Bulletpoints"/>
      </w:pPr>
      <w:r>
        <w:t>Paula Fraser</w:t>
      </w:r>
      <w:r w:rsidR="00991EC3">
        <w:t>, VOX</w:t>
      </w:r>
      <w:r w:rsidR="0047231F">
        <w:t xml:space="preserve"> Scotland </w:t>
      </w:r>
    </w:p>
    <w:p w14:paraId="43E68705" w14:textId="77777777" w:rsidR="00016CE9" w:rsidRPr="00016CE9" w:rsidRDefault="00746B35" w:rsidP="00D70313">
      <w:pPr>
        <w:pStyle w:val="Bulletpoints"/>
      </w:pPr>
      <w:r w:rsidRPr="00016CE9">
        <w:t>Kathleen Taylor, Mental Welfare Commission</w:t>
      </w:r>
    </w:p>
    <w:p w14:paraId="0A8B4079" w14:textId="2EE842F8" w:rsidR="00016CE9" w:rsidRPr="00016CE9" w:rsidRDefault="00016CE9" w:rsidP="00D70313">
      <w:pPr>
        <w:pStyle w:val="Bulletpoints"/>
        <w:rPr>
          <w:rStyle w:val="cf01"/>
          <w:rFonts w:ascii="Arial" w:hAnsi="Arial" w:cs="Arial"/>
          <w:sz w:val="24"/>
          <w:szCs w:val="24"/>
        </w:rPr>
      </w:pPr>
      <w:r w:rsidRPr="027DE501">
        <w:rPr>
          <w:rStyle w:val="cf01"/>
          <w:rFonts w:ascii="Arial" w:hAnsi="Arial" w:cs="Arial"/>
          <w:sz w:val="24"/>
          <w:szCs w:val="24"/>
        </w:rPr>
        <w:t xml:space="preserve">Lee Knifton, Mental Health </w:t>
      </w:r>
      <w:r w:rsidR="08937CDC" w:rsidRPr="027DE501">
        <w:rPr>
          <w:rStyle w:val="cf01"/>
          <w:rFonts w:ascii="Arial" w:hAnsi="Arial" w:cs="Arial"/>
          <w:sz w:val="24"/>
          <w:szCs w:val="24"/>
        </w:rPr>
        <w:t>Foundation</w:t>
      </w:r>
    </w:p>
    <w:p w14:paraId="7DC06897" w14:textId="1D044EF6" w:rsidR="0047231F" w:rsidRPr="00016CE9" w:rsidRDefault="0047231F" w:rsidP="00D70313">
      <w:pPr>
        <w:pStyle w:val="Bulletpoints"/>
      </w:pPr>
      <w:r w:rsidRPr="00016CE9">
        <w:t>Tommy Taylor, Accountant in Bankruptcy</w:t>
      </w:r>
    </w:p>
    <w:p w14:paraId="4955EA24" w14:textId="12C3CB07" w:rsidR="0047231F" w:rsidRPr="00016CE9" w:rsidRDefault="0047231F" w:rsidP="00D70313">
      <w:pPr>
        <w:pStyle w:val="Bulletpoints"/>
      </w:pPr>
      <w:r w:rsidRPr="00016CE9">
        <w:t>Brian Kennedy, Accountant in Bankruptcy</w:t>
      </w:r>
    </w:p>
    <w:p w14:paraId="7C50865C" w14:textId="0EB78856" w:rsidR="0047231F" w:rsidRDefault="0047231F" w:rsidP="00D70313">
      <w:pPr>
        <w:pStyle w:val="Bulletpoints"/>
      </w:pPr>
      <w:r w:rsidRPr="00016CE9">
        <w:t>Russell Haddow, Accountant in Bankruptcy</w:t>
      </w:r>
    </w:p>
    <w:p w14:paraId="31F604B7" w14:textId="187C056B" w:rsidR="00FB65C2" w:rsidRDefault="00FB65C2" w:rsidP="00FB65C2"/>
    <w:p w14:paraId="68E8986F" w14:textId="259EE45A" w:rsidR="00FB65C2" w:rsidRDefault="00FB65C2" w:rsidP="00FB65C2"/>
    <w:p w14:paraId="5BAB05F8" w14:textId="0B323554" w:rsidR="00FB65C2" w:rsidRDefault="00FB65C2" w:rsidP="00FB65C2"/>
    <w:p w14:paraId="20349B7A" w14:textId="50B94F2B" w:rsidR="00FB65C2" w:rsidRDefault="00FB65C2" w:rsidP="00FB65C2"/>
    <w:p w14:paraId="701F0F3E" w14:textId="63A25124" w:rsidR="00FB65C2" w:rsidRDefault="00FB65C2" w:rsidP="00FB65C2"/>
    <w:p w14:paraId="650FAD57" w14:textId="0326230C" w:rsidR="00FB65C2" w:rsidRDefault="00FB65C2" w:rsidP="00FB65C2"/>
    <w:p w14:paraId="691B3290" w14:textId="28631A85" w:rsidR="00FB65C2" w:rsidRDefault="00FB65C2" w:rsidP="00FB65C2"/>
    <w:p w14:paraId="7CFD35F5" w14:textId="32DAD2C5" w:rsidR="00FB65C2" w:rsidRDefault="00FB65C2" w:rsidP="00FB65C2"/>
    <w:p w14:paraId="0FD498A0" w14:textId="679F9D36" w:rsidR="00FB65C2" w:rsidRDefault="00FB65C2" w:rsidP="00FB65C2"/>
    <w:p w14:paraId="715F01F2" w14:textId="74F79BE6" w:rsidR="00FB65C2" w:rsidRDefault="00FB65C2" w:rsidP="00FB65C2"/>
    <w:p w14:paraId="5A24CFE6" w14:textId="3EB75005" w:rsidR="00FB65C2" w:rsidRDefault="00FB65C2" w:rsidP="00FB65C2"/>
    <w:p w14:paraId="1985944E" w14:textId="4BD78218" w:rsidR="00FB65C2" w:rsidRDefault="00FB65C2" w:rsidP="00FB65C2"/>
    <w:p w14:paraId="25A6A4B1" w14:textId="5CCE6D1A" w:rsidR="00FB65C2" w:rsidRDefault="00FB65C2" w:rsidP="00FB65C2"/>
    <w:p w14:paraId="763C62B2" w14:textId="77777777" w:rsidR="00FB65C2" w:rsidRPr="00FB65C2" w:rsidRDefault="00FB65C2" w:rsidP="00FB65C2"/>
    <w:p w14:paraId="3EBDB476" w14:textId="095EFCBE" w:rsidR="00FB65C2" w:rsidRDefault="00FB65C2" w:rsidP="00FB65C2">
      <w:pPr>
        <w:pStyle w:val="Heading1"/>
        <w:rPr>
          <w:rFonts w:eastAsia="Arial"/>
        </w:rPr>
      </w:pPr>
      <w:bookmarkStart w:id="33" w:name="_Annex_A_-"/>
      <w:bookmarkStart w:id="34" w:name="_Toc142992107"/>
      <w:bookmarkEnd w:id="33"/>
      <w:r>
        <w:rPr>
          <w:rFonts w:eastAsia="Arial"/>
        </w:rPr>
        <w:lastRenderedPageBreak/>
        <w:t>Annex A - Summary of recommendations</w:t>
      </w:r>
      <w:bookmarkEnd w:id="34"/>
    </w:p>
    <w:p w14:paraId="0EC0E238" w14:textId="77777777" w:rsidR="00FB65C2" w:rsidRDefault="00FB65C2" w:rsidP="00FB65C2">
      <w:pPr>
        <w:rPr>
          <w:rFonts w:eastAsia="Arial"/>
        </w:rPr>
      </w:pPr>
      <w:r>
        <w:rPr>
          <w:rFonts w:eastAsia="Arial"/>
        </w:rPr>
        <w:t>The group make the following recommendations as part of this report:</w:t>
      </w:r>
    </w:p>
    <w:p w14:paraId="18B33F89" w14:textId="77777777" w:rsidR="00FB65C2" w:rsidRDefault="00FB65C2" w:rsidP="00FB65C2">
      <w:pPr>
        <w:pStyle w:val="Heading2"/>
        <w:rPr>
          <w:rFonts w:eastAsia="Arial"/>
        </w:rPr>
      </w:pPr>
      <w:bookmarkStart w:id="35" w:name="_Toc142992108"/>
      <w:r>
        <w:rPr>
          <w:rFonts w:eastAsia="Arial"/>
        </w:rPr>
        <w:t>Eligibility criteria</w:t>
      </w:r>
      <w:bookmarkEnd w:id="35"/>
    </w:p>
    <w:p w14:paraId="2F991F4C" w14:textId="77777777" w:rsidR="00FB65C2" w:rsidRPr="007C2A94" w:rsidRDefault="00FB65C2" w:rsidP="00D70313">
      <w:pPr>
        <w:pStyle w:val="Bulletpoints"/>
      </w:pPr>
      <w:r w:rsidRPr="007C2A94">
        <w:rPr>
          <w:b/>
          <w:bCs/>
        </w:rPr>
        <w:t>Recommendation 1</w:t>
      </w:r>
      <w:r w:rsidRPr="007C2A94">
        <w:t xml:space="preserve"> - The group recommends the individual applying for a MHM must be receiving treatment under one of the following provisions:</w:t>
      </w:r>
    </w:p>
    <w:p w14:paraId="205266C0" w14:textId="77777777" w:rsidR="00FB65C2" w:rsidRPr="007C2A94" w:rsidRDefault="00FB65C2" w:rsidP="00D70313">
      <w:pPr>
        <w:pStyle w:val="Bulletslevel2"/>
      </w:pPr>
      <w:r w:rsidRPr="007C2A94">
        <w:t>Part 6 of the 2003 Act – Short-term detention</w:t>
      </w:r>
    </w:p>
    <w:p w14:paraId="143C99D0" w14:textId="77777777" w:rsidR="00FB65C2" w:rsidRPr="007C2A94" w:rsidRDefault="00FB65C2" w:rsidP="00D70313">
      <w:pPr>
        <w:pStyle w:val="Bulletslevel2"/>
      </w:pPr>
      <w:r w:rsidRPr="007C2A94">
        <w:t>Part 7 of the 2003 Act – an interim Compulsory Treatment Order and a Compulsory Treatment Order</w:t>
      </w:r>
    </w:p>
    <w:p w14:paraId="73E56DAB" w14:textId="77777777" w:rsidR="00FB65C2" w:rsidRPr="007C2A94" w:rsidRDefault="00FB65C2" w:rsidP="00D70313">
      <w:pPr>
        <w:pStyle w:val="Bulletslevel2"/>
      </w:pPr>
      <w:r>
        <w:t>Section 136 of the 2003 Act – Transfer of prisoners for treatment for mental disorder</w:t>
      </w:r>
    </w:p>
    <w:p w14:paraId="43AD204C" w14:textId="77777777" w:rsidR="00FB65C2" w:rsidRPr="007C2A94" w:rsidRDefault="00FB65C2" w:rsidP="00D70313">
      <w:pPr>
        <w:pStyle w:val="Bulletslevel2"/>
      </w:pPr>
      <w:r w:rsidRPr="007C2A94">
        <w:t>Section 52D of the 1995 Act – Assessment Order</w:t>
      </w:r>
    </w:p>
    <w:p w14:paraId="63BCE218" w14:textId="77777777" w:rsidR="00FB65C2" w:rsidRPr="007C2A94" w:rsidRDefault="00FB65C2" w:rsidP="00D70313">
      <w:pPr>
        <w:pStyle w:val="Bulletslevel2"/>
      </w:pPr>
      <w:r w:rsidRPr="007C2A94">
        <w:t>Section 52M of the 1995 Act – Treatment Order</w:t>
      </w:r>
    </w:p>
    <w:p w14:paraId="603A8E6E" w14:textId="77777777" w:rsidR="00FB65C2" w:rsidRPr="007C2A94" w:rsidRDefault="00FB65C2" w:rsidP="00D70313">
      <w:pPr>
        <w:pStyle w:val="Bulletslevel2"/>
      </w:pPr>
      <w:r w:rsidRPr="007C2A94">
        <w:t>Section 53 of the 1995 Act – Interim Compulsion Order</w:t>
      </w:r>
    </w:p>
    <w:p w14:paraId="4176F863" w14:textId="77777777" w:rsidR="00FB65C2" w:rsidRPr="007C2A94" w:rsidRDefault="00FB65C2" w:rsidP="00D70313">
      <w:pPr>
        <w:pStyle w:val="Bulletslevel2"/>
      </w:pPr>
      <w:r w:rsidRPr="007C2A94">
        <w:t>Section 57A of the 1995 Act – Compulsion Order</w:t>
      </w:r>
    </w:p>
    <w:p w14:paraId="0C23D36C" w14:textId="77777777" w:rsidR="00FB65C2" w:rsidRPr="007C2A94" w:rsidRDefault="00FB65C2" w:rsidP="00D70313">
      <w:pPr>
        <w:pStyle w:val="bulletslevel2after18"/>
      </w:pPr>
      <w:r w:rsidRPr="007C2A94">
        <w:t>Section 59A of the 1995 Act – Hospital direction</w:t>
      </w:r>
    </w:p>
    <w:p w14:paraId="55728776" w14:textId="77777777" w:rsidR="00FB65C2" w:rsidRPr="00544291" w:rsidRDefault="00FB65C2" w:rsidP="00D70313">
      <w:pPr>
        <w:pStyle w:val="bulletsafter18"/>
      </w:pPr>
      <w:r w:rsidRPr="00CA53A3">
        <w:rPr>
          <w:b/>
        </w:rPr>
        <w:t>Recommendation 2</w:t>
      </w:r>
      <w:r w:rsidRPr="00CA53A3">
        <w:t xml:space="preserve"> - The group recommends</w:t>
      </w:r>
      <w:r>
        <w:t xml:space="preserve"> that a debt adviser should submit an application to AiB for a MHM. The adviser would log into the IT system and submit the application on behalf of the individual</w:t>
      </w:r>
      <w:r w:rsidRPr="008C43DE">
        <w:t>.</w:t>
      </w:r>
      <w:r w:rsidRPr="008C43DE">
        <w:rPr>
          <w:rFonts w:cs="Arial"/>
          <w:szCs w:val="24"/>
        </w:rPr>
        <w:t xml:space="preserve"> </w:t>
      </w:r>
      <w:r w:rsidRPr="008C43DE">
        <w:rPr>
          <w:rStyle w:val="cf01"/>
          <w:rFonts w:ascii="Arial" w:hAnsi="Arial" w:cs="Arial"/>
          <w:sz w:val="24"/>
          <w:szCs w:val="24"/>
        </w:rPr>
        <w:t>The debt adviser should not be able to charge a fee in connection with the moratorium.</w:t>
      </w:r>
    </w:p>
    <w:p w14:paraId="25C3A0AC" w14:textId="0FFC8B9C" w:rsidR="00FB65C2" w:rsidRDefault="00FB65C2" w:rsidP="00D70313">
      <w:pPr>
        <w:pStyle w:val="bulletsafter18"/>
      </w:pPr>
      <w:r w:rsidRPr="48B7F7E9">
        <w:rPr>
          <w:b/>
          <w:bCs/>
        </w:rPr>
        <w:t>Recommendation 3</w:t>
      </w:r>
      <w:r>
        <w:t xml:space="preserve"> - The group would also recommend the application must include supporting evidence (a statutory form confirming the mental health treatment signed by the mental health professional) and confirmation of debts due (signed by the adviser) as well as a signed agreement from the individual (or power of attorney, where appropriate).</w:t>
      </w:r>
    </w:p>
    <w:p w14:paraId="668493F8" w14:textId="77777777" w:rsidR="00DF6487" w:rsidRPr="005C02F4" w:rsidRDefault="00DF6487" w:rsidP="00DF6487">
      <w:pPr>
        <w:pStyle w:val="bulletsafter18"/>
        <w:numPr>
          <w:ilvl w:val="0"/>
          <w:numId w:val="0"/>
        </w:numPr>
        <w:ind w:left="714"/>
      </w:pPr>
    </w:p>
    <w:p w14:paraId="5CF7A20D" w14:textId="77777777" w:rsidR="00FB65C2" w:rsidRPr="00697C5B" w:rsidRDefault="00FB65C2" w:rsidP="00FB65C2">
      <w:pPr>
        <w:pStyle w:val="Heading2"/>
        <w:rPr>
          <w:rFonts w:eastAsia="Arial"/>
        </w:rPr>
      </w:pPr>
      <w:bookmarkStart w:id="36" w:name="_Toc142992109"/>
      <w:r>
        <w:rPr>
          <w:rFonts w:eastAsia="Arial"/>
        </w:rPr>
        <w:lastRenderedPageBreak/>
        <w:t>Period of protection</w:t>
      </w:r>
      <w:bookmarkEnd w:id="36"/>
    </w:p>
    <w:p w14:paraId="2310B613" w14:textId="77777777" w:rsidR="00FB65C2" w:rsidRPr="008C43DE" w:rsidRDefault="00FB65C2" w:rsidP="00D70313">
      <w:pPr>
        <w:pStyle w:val="bulletsafter18"/>
      </w:pPr>
      <w:r w:rsidRPr="008C43DE">
        <w:rPr>
          <w:b/>
        </w:rPr>
        <w:t>Recommendation</w:t>
      </w:r>
      <w:r w:rsidRPr="008C43DE">
        <w:t xml:space="preserve"> </w:t>
      </w:r>
      <w:r w:rsidRPr="008C43DE">
        <w:rPr>
          <w:b/>
        </w:rPr>
        <w:t>4</w:t>
      </w:r>
      <w:r w:rsidRPr="008C43DE">
        <w:t xml:space="preserve"> - The group recommends that the length of a MHM should be split into two separate but continuous time periods. The first period would be flexible and align to the period of time the individual is receiving a compulsory aspect to their treatment. The purpose of this protection period is specifically for the individual to focus on their mental health issues. </w:t>
      </w:r>
    </w:p>
    <w:p w14:paraId="5325B937" w14:textId="77777777" w:rsidR="00FB65C2" w:rsidRPr="00304CC6" w:rsidRDefault="00FB65C2" w:rsidP="00D70313">
      <w:pPr>
        <w:pStyle w:val="bulletsafter18"/>
      </w:pPr>
      <w:r w:rsidRPr="008C43DE">
        <w:rPr>
          <w:b/>
          <w:bCs/>
        </w:rPr>
        <w:t xml:space="preserve">Recommendation 5 </w:t>
      </w:r>
      <w:r w:rsidRPr="008C43DE">
        <w:t>- The group recommends the second period of protection commences on completion of the compulsory aspect of the individual’s treatment. They agreed that the purpose of this protection period</w:t>
      </w:r>
      <w:r>
        <w:t xml:space="preserve"> is for the individual to focus on dealing with their debt problems and should be for a fixed period of time. However, there was not a consensus from the group on what that time period should be. The majority of the group believe it should align to the timescale of a standard moratorium. Other members had concerns to this approach as the current standard moratorium is 6 months. </w:t>
      </w:r>
    </w:p>
    <w:p w14:paraId="693F434D" w14:textId="77777777" w:rsidR="00FB65C2" w:rsidRDefault="00FB65C2" w:rsidP="00FB65C2">
      <w:pPr>
        <w:pStyle w:val="Heading2"/>
        <w:rPr>
          <w:rFonts w:eastAsia="Arial"/>
        </w:rPr>
      </w:pPr>
      <w:bookmarkStart w:id="37" w:name="_Toc142992110"/>
      <w:r>
        <w:rPr>
          <w:rFonts w:eastAsia="Arial"/>
        </w:rPr>
        <w:t>Levels of protection</w:t>
      </w:r>
      <w:bookmarkEnd w:id="37"/>
    </w:p>
    <w:p w14:paraId="3B05D663" w14:textId="77777777" w:rsidR="00FB65C2" w:rsidRPr="008C43DE" w:rsidRDefault="00FB65C2" w:rsidP="00D70313">
      <w:pPr>
        <w:pStyle w:val="bulletsafter18"/>
      </w:pPr>
      <w:r w:rsidRPr="008C43DE">
        <w:rPr>
          <w:b/>
        </w:rPr>
        <w:t>Recommendation 6</w:t>
      </w:r>
      <w:r w:rsidRPr="008C43DE">
        <w:t xml:space="preserve"> - The group recommends that, when creditors are notified of the MHM, there will be no requirement on the individual in the MHM to pay interest and charges on the qualifying debt which would accrue during the moratorium period for debts incurred prior to the granting of the moratorium. Interest and charges on the debt could only recommence after the moratorium has ceased.</w:t>
      </w:r>
    </w:p>
    <w:p w14:paraId="69FE5FA4" w14:textId="77777777" w:rsidR="00FB65C2" w:rsidRPr="008C43DE" w:rsidRDefault="00FB65C2" w:rsidP="00D70313">
      <w:pPr>
        <w:pStyle w:val="bulletsafter18"/>
      </w:pPr>
      <w:r w:rsidRPr="008C43DE">
        <w:rPr>
          <w:b/>
        </w:rPr>
        <w:t>Recommendation 7</w:t>
      </w:r>
      <w:r w:rsidRPr="008C43DE">
        <w:t xml:space="preserve"> - The group recommends that on being notified of the moratorium, creditors should cease any contact with the individual which relates to the pursuit of that debt during the moratorium period.</w:t>
      </w:r>
    </w:p>
    <w:p w14:paraId="5EA801F3" w14:textId="77777777" w:rsidR="00FB65C2" w:rsidRPr="008C43DE" w:rsidRDefault="00FB65C2" w:rsidP="00D70313">
      <w:pPr>
        <w:pStyle w:val="bulletsafter18"/>
      </w:pPr>
      <w:r w:rsidRPr="008C43DE">
        <w:rPr>
          <w:b/>
        </w:rPr>
        <w:t>Recommendation 8</w:t>
      </w:r>
      <w:r w:rsidRPr="008C43DE">
        <w:t xml:space="preserve"> - The group recommends that on being notified of the moratorium, creditors should not commence or continue with any form of diligence during the moratorium period.</w:t>
      </w:r>
    </w:p>
    <w:p w14:paraId="6E5FAC47" w14:textId="77777777" w:rsidR="00FB65C2" w:rsidRPr="008C43DE" w:rsidRDefault="00FB65C2" w:rsidP="00D70313">
      <w:pPr>
        <w:pStyle w:val="bulletsafter18"/>
      </w:pPr>
      <w:r w:rsidRPr="008C43DE">
        <w:rPr>
          <w:b/>
        </w:rPr>
        <w:lastRenderedPageBreak/>
        <w:t xml:space="preserve">Recommendation 9 </w:t>
      </w:r>
      <w:r w:rsidRPr="008C43DE">
        <w:t xml:space="preserve">– The group recommends that it should not be possible to evict an individual who has been granted an MHM during their moratorium period. </w:t>
      </w:r>
    </w:p>
    <w:p w14:paraId="67611A4C" w14:textId="77777777" w:rsidR="00FB65C2" w:rsidRPr="007C2A94" w:rsidRDefault="00FB65C2" w:rsidP="00D70313">
      <w:pPr>
        <w:pStyle w:val="bulletsafter18"/>
      </w:pPr>
      <w:r w:rsidRPr="007C2A94">
        <w:rPr>
          <w:b/>
          <w:bCs/>
        </w:rPr>
        <w:t xml:space="preserve">Recommendation </w:t>
      </w:r>
      <w:r>
        <w:rPr>
          <w:b/>
          <w:bCs/>
        </w:rPr>
        <w:t>10</w:t>
      </w:r>
      <w:r w:rsidRPr="007C2A94">
        <w:t xml:space="preserve"> - The group recommends that joint and severally liable debts be included in the MHM. Diligence protections should be applied to the other party or parties not in the MHM but who owe that joint debt. Interest or fees could still be charged to those party or parties, and the moratorium should not affect their debts and liabilities in their own names.</w:t>
      </w:r>
    </w:p>
    <w:p w14:paraId="133AD537" w14:textId="77777777" w:rsidR="00FB65C2" w:rsidRPr="007C2A94" w:rsidRDefault="00FB65C2" w:rsidP="00D70313">
      <w:pPr>
        <w:pStyle w:val="bulletsafter18"/>
      </w:pPr>
      <w:r w:rsidRPr="007C2A94">
        <w:rPr>
          <w:b/>
          <w:bCs/>
        </w:rPr>
        <w:t>Recommendation 1</w:t>
      </w:r>
      <w:r>
        <w:rPr>
          <w:b/>
          <w:bCs/>
        </w:rPr>
        <w:t>1</w:t>
      </w:r>
      <w:r w:rsidRPr="007C2A94">
        <w:rPr>
          <w:b/>
          <w:bCs/>
        </w:rPr>
        <w:t xml:space="preserve"> </w:t>
      </w:r>
      <w:r w:rsidRPr="007C2A94">
        <w:t>– The group recommends that the MHM is distinct from the standard moratorium. The MHM should be recorded on a separate IT system from the standard moratorium and not publicly registered on the ROI unlike the standard moratorium.</w:t>
      </w:r>
    </w:p>
    <w:p w14:paraId="53125F45" w14:textId="77777777" w:rsidR="00FB65C2" w:rsidRPr="00816221" w:rsidRDefault="00FB65C2" w:rsidP="00D70313">
      <w:pPr>
        <w:pStyle w:val="bulletsafter18"/>
      </w:pPr>
      <w:r w:rsidRPr="06E63119">
        <w:rPr>
          <w:b/>
          <w:bCs/>
        </w:rPr>
        <w:t xml:space="preserve">Recommendation </w:t>
      </w:r>
      <w:r>
        <w:rPr>
          <w:b/>
          <w:bCs/>
        </w:rPr>
        <w:t>12</w:t>
      </w:r>
      <w:r>
        <w:t xml:space="preserve"> – </w:t>
      </w:r>
      <w:r w:rsidRPr="00A86EA0">
        <w:t xml:space="preserve">The group recommends the individual in the moratorium is obligated to adhere to section 218(13) of the Bankruptcy (Scotland) Act 2016 and not obtain credit above the limit in this section unless they notify </w:t>
      </w:r>
      <w:r w:rsidRPr="00A86EA0">
        <w:rPr>
          <w:rFonts w:cs="Arial"/>
          <w:color w:val="000000"/>
          <w:shd w:val="clear" w:color="auto" w:fill="FFFFFF"/>
        </w:rPr>
        <w:t>the person from whom the credit is obtained about their moratorium.</w:t>
      </w:r>
      <w:r w:rsidRPr="00A86EA0">
        <w:t xml:space="preserve"> </w:t>
      </w:r>
    </w:p>
    <w:p w14:paraId="02DDAE11" w14:textId="77777777" w:rsidR="00FB65C2" w:rsidRDefault="00FB65C2" w:rsidP="00FB65C2">
      <w:pPr>
        <w:pStyle w:val="Heading2"/>
        <w:rPr>
          <w:rFonts w:eastAsia="Arial"/>
        </w:rPr>
      </w:pPr>
      <w:bookmarkStart w:id="38" w:name="_Toc142992111"/>
      <w:r>
        <w:rPr>
          <w:rFonts w:eastAsia="Arial"/>
        </w:rPr>
        <w:t>Exit process</w:t>
      </w:r>
      <w:bookmarkEnd w:id="38"/>
    </w:p>
    <w:p w14:paraId="0D6B670B" w14:textId="77777777" w:rsidR="00FB65C2" w:rsidRPr="004B776F" w:rsidRDefault="00FB65C2" w:rsidP="00D70313">
      <w:pPr>
        <w:pStyle w:val="bulletsafter18"/>
      </w:pPr>
      <w:r w:rsidRPr="71410F71">
        <w:rPr>
          <w:b/>
          <w:bCs/>
        </w:rPr>
        <w:t>Recommendation 1</w:t>
      </w:r>
      <w:r>
        <w:rPr>
          <w:b/>
          <w:bCs/>
        </w:rPr>
        <w:t>3</w:t>
      </w:r>
      <w:r>
        <w:t xml:space="preserve"> - The group recommends the 2003 Act is amended to require an MHO to contact AiB, and the debt adviser, on completion of the individual’s CTO or short-term detention where they are in a MHM. </w:t>
      </w:r>
    </w:p>
    <w:p w14:paraId="5E994374" w14:textId="77777777" w:rsidR="00FB65C2" w:rsidRDefault="00FB65C2">
      <w:pPr>
        <w:spacing w:before="0" w:beforeAutospacing="0" w:after="0" w:afterAutospacing="0" w:line="240" w:lineRule="auto"/>
        <w:rPr>
          <w:rFonts w:asciiTheme="minorHAnsi" w:hAnsiTheme="minorHAnsi" w:cstheme="minorBidi"/>
          <w:sz w:val="22"/>
          <w:szCs w:val="22"/>
        </w:rPr>
      </w:pPr>
    </w:p>
    <w:sectPr w:rsidR="00FB65C2" w:rsidSect="00FB65C2">
      <w:footerReference w:type="default" r:id="rId18"/>
      <w:pgSz w:w="11906" w:h="16838" w:code="9"/>
      <w:pgMar w:top="1440" w:right="1440" w:bottom="568" w:left="1440" w:header="720"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7FFA9" w14:textId="77777777" w:rsidR="00806539" w:rsidRDefault="00806539" w:rsidP="005F2797">
      <w:r>
        <w:separator/>
      </w:r>
    </w:p>
  </w:endnote>
  <w:endnote w:type="continuationSeparator" w:id="0">
    <w:p w14:paraId="7258CD4E" w14:textId="77777777" w:rsidR="00806539" w:rsidRDefault="00806539" w:rsidP="005F2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664479"/>
      <w:docPartObj>
        <w:docPartGallery w:val="Page Numbers (Bottom of Page)"/>
        <w:docPartUnique/>
      </w:docPartObj>
    </w:sdtPr>
    <w:sdtEndPr>
      <w:rPr>
        <w:noProof/>
      </w:rPr>
    </w:sdtEndPr>
    <w:sdtContent>
      <w:p w14:paraId="593AF004" w14:textId="20FF6BDB" w:rsidR="00855CDD" w:rsidRDefault="00855CDD">
        <w:pPr>
          <w:pStyle w:val="Footer"/>
          <w:jc w:val="center"/>
        </w:pPr>
        <w:r>
          <w:fldChar w:fldCharType="begin"/>
        </w:r>
        <w:r>
          <w:instrText xml:space="preserve"> PAGE   \* MERGEFORMAT </w:instrText>
        </w:r>
        <w:r>
          <w:fldChar w:fldCharType="separate"/>
        </w:r>
        <w:r w:rsidR="000573AD">
          <w:rPr>
            <w:noProof/>
          </w:rPr>
          <w:t>20</w:t>
        </w:r>
        <w:r>
          <w:rPr>
            <w:noProof/>
          </w:rPr>
          <w:fldChar w:fldCharType="end"/>
        </w:r>
      </w:p>
    </w:sdtContent>
  </w:sdt>
  <w:p w14:paraId="29AFA4AB" w14:textId="77777777" w:rsidR="007F555D" w:rsidRDefault="007F5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85495" w14:textId="77777777" w:rsidR="00806539" w:rsidRDefault="00806539" w:rsidP="005F2797">
      <w:r>
        <w:separator/>
      </w:r>
    </w:p>
  </w:footnote>
  <w:footnote w:type="continuationSeparator" w:id="0">
    <w:p w14:paraId="4E97132C" w14:textId="77777777" w:rsidR="00806539" w:rsidRDefault="00806539" w:rsidP="005F2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07D30"/>
    <w:multiLevelType w:val="hybridMultilevel"/>
    <w:tmpl w:val="C9740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B311B"/>
    <w:multiLevelType w:val="hybridMultilevel"/>
    <w:tmpl w:val="1C2AC58C"/>
    <w:lvl w:ilvl="0" w:tplc="288A9C16">
      <w:start w:val="1"/>
      <w:numFmt w:val="bullet"/>
      <w:lvlText w:val="·"/>
      <w:lvlJc w:val="left"/>
      <w:pPr>
        <w:ind w:left="720" w:hanging="360"/>
      </w:pPr>
      <w:rPr>
        <w:rFonts w:ascii="Symbol" w:hAnsi="Symbol" w:hint="default"/>
      </w:rPr>
    </w:lvl>
    <w:lvl w:ilvl="1" w:tplc="6EC04CEA">
      <w:start w:val="1"/>
      <w:numFmt w:val="bullet"/>
      <w:lvlText w:val="o"/>
      <w:lvlJc w:val="left"/>
      <w:pPr>
        <w:ind w:left="1440" w:hanging="360"/>
      </w:pPr>
      <w:rPr>
        <w:rFonts w:ascii="Courier New" w:hAnsi="Courier New" w:hint="default"/>
      </w:rPr>
    </w:lvl>
    <w:lvl w:ilvl="2" w:tplc="114C09A4">
      <w:start w:val="1"/>
      <w:numFmt w:val="bullet"/>
      <w:lvlText w:val=""/>
      <w:lvlJc w:val="left"/>
      <w:pPr>
        <w:ind w:left="2160" w:hanging="360"/>
      </w:pPr>
      <w:rPr>
        <w:rFonts w:ascii="Wingdings" w:hAnsi="Wingdings" w:hint="default"/>
      </w:rPr>
    </w:lvl>
    <w:lvl w:ilvl="3" w:tplc="1A06DB6E">
      <w:start w:val="1"/>
      <w:numFmt w:val="bullet"/>
      <w:lvlText w:val=""/>
      <w:lvlJc w:val="left"/>
      <w:pPr>
        <w:ind w:left="2880" w:hanging="360"/>
      </w:pPr>
      <w:rPr>
        <w:rFonts w:ascii="Symbol" w:hAnsi="Symbol" w:hint="default"/>
      </w:rPr>
    </w:lvl>
    <w:lvl w:ilvl="4" w:tplc="BC582F90">
      <w:start w:val="1"/>
      <w:numFmt w:val="bullet"/>
      <w:lvlText w:val="o"/>
      <w:lvlJc w:val="left"/>
      <w:pPr>
        <w:ind w:left="3600" w:hanging="360"/>
      </w:pPr>
      <w:rPr>
        <w:rFonts w:ascii="Courier New" w:hAnsi="Courier New" w:hint="default"/>
      </w:rPr>
    </w:lvl>
    <w:lvl w:ilvl="5" w:tplc="ED789E3A">
      <w:start w:val="1"/>
      <w:numFmt w:val="bullet"/>
      <w:lvlText w:val=""/>
      <w:lvlJc w:val="left"/>
      <w:pPr>
        <w:ind w:left="4320" w:hanging="360"/>
      </w:pPr>
      <w:rPr>
        <w:rFonts w:ascii="Wingdings" w:hAnsi="Wingdings" w:hint="default"/>
      </w:rPr>
    </w:lvl>
    <w:lvl w:ilvl="6" w:tplc="95289AD0">
      <w:start w:val="1"/>
      <w:numFmt w:val="bullet"/>
      <w:lvlText w:val=""/>
      <w:lvlJc w:val="left"/>
      <w:pPr>
        <w:ind w:left="5040" w:hanging="360"/>
      </w:pPr>
      <w:rPr>
        <w:rFonts w:ascii="Symbol" w:hAnsi="Symbol" w:hint="default"/>
      </w:rPr>
    </w:lvl>
    <w:lvl w:ilvl="7" w:tplc="C5A29316">
      <w:start w:val="1"/>
      <w:numFmt w:val="bullet"/>
      <w:lvlText w:val="o"/>
      <w:lvlJc w:val="left"/>
      <w:pPr>
        <w:ind w:left="5760" w:hanging="360"/>
      </w:pPr>
      <w:rPr>
        <w:rFonts w:ascii="Courier New" w:hAnsi="Courier New" w:hint="default"/>
      </w:rPr>
    </w:lvl>
    <w:lvl w:ilvl="8" w:tplc="4CB07046">
      <w:start w:val="1"/>
      <w:numFmt w:val="bullet"/>
      <w:lvlText w:val=""/>
      <w:lvlJc w:val="left"/>
      <w:pPr>
        <w:ind w:left="6480" w:hanging="360"/>
      </w:pPr>
      <w:rPr>
        <w:rFonts w:ascii="Wingdings" w:hAnsi="Wingdings" w:hint="default"/>
      </w:rPr>
    </w:lvl>
  </w:abstractNum>
  <w:abstractNum w:abstractNumId="2" w15:restartNumberingAfterBreak="0">
    <w:nsid w:val="05762AF1"/>
    <w:multiLevelType w:val="hybridMultilevel"/>
    <w:tmpl w:val="283E4788"/>
    <w:lvl w:ilvl="0" w:tplc="8494CB7A">
      <w:start w:val="1"/>
      <w:numFmt w:val="decimal"/>
      <w:lvlText w:val="%1."/>
      <w:lvlJc w:val="left"/>
      <w:pPr>
        <w:ind w:left="36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BA2AEE"/>
    <w:multiLevelType w:val="multilevel"/>
    <w:tmpl w:val="1462771E"/>
    <w:lvl w:ilvl="0">
      <w:start w:val="1"/>
      <w:numFmt w:val="decimal"/>
      <w:lvlText w:val="%1."/>
      <w:lvlJc w:val="left"/>
      <w:pPr>
        <w:tabs>
          <w:tab w:val="num" w:pos="1135"/>
        </w:tabs>
        <w:ind w:left="426" w:firstLine="0"/>
      </w:pPr>
      <w:rPr>
        <w:rFonts w:ascii="Times New Roman" w:hAnsi="Times New Roman" w:cs="Times New Roman" w:hint="default"/>
        <w:i w:val="0"/>
        <w:iCs/>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93F0F3"/>
    <w:multiLevelType w:val="hybridMultilevel"/>
    <w:tmpl w:val="99806BD2"/>
    <w:lvl w:ilvl="0" w:tplc="FA320210">
      <w:start w:val="1"/>
      <w:numFmt w:val="bullet"/>
      <w:lvlText w:val="·"/>
      <w:lvlJc w:val="left"/>
      <w:pPr>
        <w:ind w:left="720" w:hanging="360"/>
      </w:pPr>
      <w:rPr>
        <w:rFonts w:ascii="Symbol" w:hAnsi="Symbol" w:hint="default"/>
      </w:rPr>
    </w:lvl>
    <w:lvl w:ilvl="1" w:tplc="5728065C">
      <w:start w:val="1"/>
      <w:numFmt w:val="bullet"/>
      <w:lvlText w:val="o"/>
      <w:lvlJc w:val="left"/>
      <w:pPr>
        <w:ind w:left="1440" w:hanging="360"/>
      </w:pPr>
      <w:rPr>
        <w:rFonts w:ascii="Courier New" w:hAnsi="Courier New" w:hint="default"/>
      </w:rPr>
    </w:lvl>
    <w:lvl w:ilvl="2" w:tplc="631A70EC">
      <w:start w:val="1"/>
      <w:numFmt w:val="bullet"/>
      <w:lvlText w:val=""/>
      <w:lvlJc w:val="left"/>
      <w:pPr>
        <w:ind w:left="2160" w:hanging="360"/>
      </w:pPr>
      <w:rPr>
        <w:rFonts w:ascii="Wingdings" w:hAnsi="Wingdings" w:hint="default"/>
      </w:rPr>
    </w:lvl>
    <w:lvl w:ilvl="3" w:tplc="B142D2E0">
      <w:start w:val="1"/>
      <w:numFmt w:val="bullet"/>
      <w:lvlText w:val=""/>
      <w:lvlJc w:val="left"/>
      <w:pPr>
        <w:ind w:left="2880" w:hanging="360"/>
      </w:pPr>
      <w:rPr>
        <w:rFonts w:ascii="Symbol" w:hAnsi="Symbol" w:hint="default"/>
      </w:rPr>
    </w:lvl>
    <w:lvl w:ilvl="4" w:tplc="8B0E0562">
      <w:start w:val="1"/>
      <w:numFmt w:val="bullet"/>
      <w:lvlText w:val="o"/>
      <w:lvlJc w:val="left"/>
      <w:pPr>
        <w:ind w:left="3600" w:hanging="360"/>
      </w:pPr>
      <w:rPr>
        <w:rFonts w:ascii="Courier New" w:hAnsi="Courier New" w:hint="default"/>
      </w:rPr>
    </w:lvl>
    <w:lvl w:ilvl="5" w:tplc="EB06D3CC">
      <w:start w:val="1"/>
      <w:numFmt w:val="bullet"/>
      <w:lvlText w:val=""/>
      <w:lvlJc w:val="left"/>
      <w:pPr>
        <w:ind w:left="4320" w:hanging="360"/>
      </w:pPr>
      <w:rPr>
        <w:rFonts w:ascii="Wingdings" w:hAnsi="Wingdings" w:hint="default"/>
      </w:rPr>
    </w:lvl>
    <w:lvl w:ilvl="6" w:tplc="EC54D44A">
      <w:start w:val="1"/>
      <w:numFmt w:val="bullet"/>
      <w:lvlText w:val=""/>
      <w:lvlJc w:val="left"/>
      <w:pPr>
        <w:ind w:left="5040" w:hanging="360"/>
      </w:pPr>
      <w:rPr>
        <w:rFonts w:ascii="Symbol" w:hAnsi="Symbol" w:hint="default"/>
      </w:rPr>
    </w:lvl>
    <w:lvl w:ilvl="7" w:tplc="B8343326">
      <w:start w:val="1"/>
      <w:numFmt w:val="bullet"/>
      <w:lvlText w:val="o"/>
      <w:lvlJc w:val="left"/>
      <w:pPr>
        <w:ind w:left="5760" w:hanging="360"/>
      </w:pPr>
      <w:rPr>
        <w:rFonts w:ascii="Courier New" w:hAnsi="Courier New" w:hint="default"/>
      </w:rPr>
    </w:lvl>
    <w:lvl w:ilvl="8" w:tplc="A7421094">
      <w:start w:val="1"/>
      <w:numFmt w:val="bullet"/>
      <w:lvlText w:val=""/>
      <w:lvlJc w:val="left"/>
      <w:pPr>
        <w:ind w:left="6480" w:hanging="360"/>
      </w:pPr>
      <w:rPr>
        <w:rFonts w:ascii="Wingdings" w:hAnsi="Wingdings" w:hint="default"/>
      </w:rPr>
    </w:lvl>
  </w:abstractNum>
  <w:abstractNum w:abstractNumId="5" w15:restartNumberingAfterBreak="0">
    <w:nsid w:val="13FC5D45"/>
    <w:multiLevelType w:val="hybridMultilevel"/>
    <w:tmpl w:val="DD14E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9E464B"/>
    <w:multiLevelType w:val="hybridMultilevel"/>
    <w:tmpl w:val="E2962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2C6158"/>
    <w:multiLevelType w:val="hybridMultilevel"/>
    <w:tmpl w:val="765AFECE"/>
    <w:lvl w:ilvl="0" w:tplc="EC3A14AA">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275B1C"/>
    <w:multiLevelType w:val="hybridMultilevel"/>
    <w:tmpl w:val="4D12022E"/>
    <w:lvl w:ilvl="0" w:tplc="F07AF8D4">
      <w:start w:val="1"/>
      <w:numFmt w:val="bullet"/>
      <w:pStyle w:val="Bulletslevel2"/>
      <w:lvlText w:val="o"/>
      <w:lvlJc w:val="left"/>
      <w:pPr>
        <w:ind w:left="1077" w:hanging="360"/>
      </w:pPr>
      <w:rPr>
        <w:rFonts w:ascii="Courier New" w:hAnsi="Courier New" w:cs="Courier New"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26F4056C"/>
    <w:multiLevelType w:val="hybridMultilevel"/>
    <w:tmpl w:val="75DCE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0A5E72"/>
    <w:multiLevelType w:val="hybridMultilevel"/>
    <w:tmpl w:val="3EC69A90"/>
    <w:lvl w:ilvl="0" w:tplc="0118751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A159DE"/>
    <w:multiLevelType w:val="hybridMultilevel"/>
    <w:tmpl w:val="AF9EC4AE"/>
    <w:lvl w:ilvl="0" w:tplc="DBEA3222">
      <w:start w:val="1"/>
      <w:numFmt w:val="bullet"/>
      <w:lvlText w:val="·"/>
      <w:lvlJc w:val="left"/>
      <w:pPr>
        <w:ind w:left="720" w:hanging="360"/>
      </w:pPr>
      <w:rPr>
        <w:rFonts w:ascii="Symbol" w:hAnsi="Symbol" w:hint="default"/>
      </w:rPr>
    </w:lvl>
    <w:lvl w:ilvl="1" w:tplc="B8ECC520">
      <w:start w:val="1"/>
      <w:numFmt w:val="bullet"/>
      <w:lvlText w:val="o"/>
      <w:lvlJc w:val="left"/>
      <w:pPr>
        <w:ind w:left="1440" w:hanging="360"/>
      </w:pPr>
      <w:rPr>
        <w:rFonts w:ascii="Courier New" w:hAnsi="Courier New" w:hint="default"/>
      </w:rPr>
    </w:lvl>
    <w:lvl w:ilvl="2" w:tplc="14708952">
      <w:start w:val="1"/>
      <w:numFmt w:val="bullet"/>
      <w:lvlText w:val=""/>
      <w:lvlJc w:val="left"/>
      <w:pPr>
        <w:ind w:left="2160" w:hanging="360"/>
      </w:pPr>
      <w:rPr>
        <w:rFonts w:ascii="Wingdings" w:hAnsi="Wingdings" w:hint="default"/>
      </w:rPr>
    </w:lvl>
    <w:lvl w:ilvl="3" w:tplc="976ECDE8">
      <w:start w:val="1"/>
      <w:numFmt w:val="bullet"/>
      <w:lvlText w:val=""/>
      <w:lvlJc w:val="left"/>
      <w:pPr>
        <w:ind w:left="2880" w:hanging="360"/>
      </w:pPr>
      <w:rPr>
        <w:rFonts w:ascii="Symbol" w:hAnsi="Symbol" w:hint="default"/>
      </w:rPr>
    </w:lvl>
    <w:lvl w:ilvl="4" w:tplc="E77E6B92">
      <w:start w:val="1"/>
      <w:numFmt w:val="bullet"/>
      <w:lvlText w:val="o"/>
      <w:lvlJc w:val="left"/>
      <w:pPr>
        <w:ind w:left="3600" w:hanging="360"/>
      </w:pPr>
      <w:rPr>
        <w:rFonts w:ascii="Courier New" w:hAnsi="Courier New" w:hint="default"/>
      </w:rPr>
    </w:lvl>
    <w:lvl w:ilvl="5" w:tplc="30D85944">
      <w:start w:val="1"/>
      <w:numFmt w:val="bullet"/>
      <w:lvlText w:val=""/>
      <w:lvlJc w:val="left"/>
      <w:pPr>
        <w:ind w:left="4320" w:hanging="360"/>
      </w:pPr>
      <w:rPr>
        <w:rFonts w:ascii="Wingdings" w:hAnsi="Wingdings" w:hint="default"/>
      </w:rPr>
    </w:lvl>
    <w:lvl w:ilvl="6" w:tplc="E8328084">
      <w:start w:val="1"/>
      <w:numFmt w:val="bullet"/>
      <w:lvlText w:val=""/>
      <w:lvlJc w:val="left"/>
      <w:pPr>
        <w:ind w:left="5040" w:hanging="360"/>
      </w:pPr>
      <w:rPr>
        <w:rFonts w:ascii="Symbol" w:hAnsi="Symbol" w:hint="default"/>
      </w:rPr>
    </w:lvl>
    <w:lvl w:ilvl="7" w:tplc="E06E6874">
      <w:start w:val="1"/>
      <w:numFmt w:val="bullet"/>
      <w:lvlText w:val="o"/>
      <w:lvlJc w:val="left"/>
      <w:pPr>
        <w:ind w:left="5760" w:hanging="360"/>
      </w:pPr>
      <w:rPr>
        <w:rFonts w:ascii="Courier New" w:hAnsi="Courier New" w:hint="default"/>
      </w:rPr>
    </w:lvl>
    <w:lvl w:ilvl="8" w:tplc="81B8ED38">
      <w:start w:val="1"/>
      <w:numFmt w:val="bullet"/>
      <w:lvlText w:val=""/>
      <w:lvlJc w:val="left"/>
      <w:pPr>
        <w:ind w:left="6480" w:hanging="360"/>
      </w:pPr>
      <w:rPr>
        <w:rFonts w:ascii="Wingdings" w:hAnsi="Wingdings" w:hint="default"/>
      </w:rPr>
    </w:lvl>
  </w:abstractNum>
  <w:abstractNum w:abstractNumId="12" w15:restartNumberingAfterBreak="0">
    <w:nsid w:val="4F006E02"/>
    <w:multiLevelType w:val="hybridMultilevel"/>
    <w:tmpl w:val="59C8B294"/>
    <w:lvl w:ilvl="0" w:tplc="71AE7AF2">
      <w:start w:val="1"/>
      <w:numFmt w:val="bullet"/>
      <w:pStyle w:val="bulletsafter18"/>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53DB39B3"/>
    <w:multiLevelType w:val="hybridMultilevel"/>
    <w:tmpl w:val="8864D92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5BDF48ED"/>
    <w:multiLevelType w:val="hybridMultilevel"/>
    <w:tmpl w:val="56E4CB74"/>
    <w:lvl w:ilvl="0" w:tplc="95F694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276BA7"/>
    <w:multiLevelType w:val="hybridMultilevel"/>
    <w:tmpl w:val="497CAE94"/>
    <w:lvl w:ilvl="0" w:tplc="E5742D84">
      <w:start w:val="1"/>
      <w:numFmt w:val="bullet"/>
      <w:lvlText w:val="•"/>
      <w:lvlJc w:val="left"/>
      <w:pPr>
        <w:tabs>
          <w:tab w:val="num" w:pos="720"/>
        </w:tabs>
        <w:ind w:left="720" w:hanging="360"/>
      </w:pPr>
      <w:rPr>
        <w:rFonts w:ascii="Arial" w:hAnsi="Arial" w:hint="default"/>
      </w:rPr>
    </w:lvl>
    <w:lvl w:ilvl="1" w:tplc="7BAE3C8A" w:tentative="1">
      <w:start w:val="1"/>
      <w:numFmt w:val="bullet"/>
      <w:lvlText w:val="•"/>
      <w:lvlJc w:val="left"/>
      <w:pPr>
        <w:tabs>
          <w:tab w:val="num" w:pos="1440"/>
        </w:tabs>
        <w:ind w:left="1440" w:hanging="360"/>
      </w:pPr>
      <w:rPr>
        <w:rFonts w:ascii="Arial" w:hAnsi="Arial" w:hint="default"/>
      </w:rPr>
    </w:lvl>
    <w:lvl w:ilvl="2" w:tplc="CC00B1B2" w:tentative="1">
      <w:start w:val="1"/>
      <w:numFmt w:val="bullet"/>
      <w:lvlText w:val="•"/>
      <w:lvlJc w:val="left"/>
      <w:pPr>
        <w:tabs>
          <w:tab w:val="num" w:pos="2160"/>
        </w:tabs>
        <w:ind w:left="2160" w:hanging="360"/>
      </w:pPr>
      <w:rPr>
        <w:rFonts w:ascii="Arial" w:hAnsi="Arial" w:hint="default"/>
      </w:rPr>
    </w:lvl>
    <w:lvl w:ilvl="3" w:tplc="6B38CF7E" w:tentative="1">
      <w:start w:val="1"/>
      <w:numFmt w:val="bullet"/>
      <w:lvlText w:val="•"/>
      <w:lvlJc w:val="left"/>
      <w:pPr>
        <w:tabs>
          <w:tab w:val="num" w:pos="2880"/>
        </w:tabs>
        <w:ind w:left="2880" w:hanging="360"/>
      </w:pPr>
      <w:rPr>
        <w:rFonts w:ascii="Arial" w:hAnsi="Arial" w:hint="default"/>
      </w:rPr>
    </w:lvl>
    <w:lvl w:ilvl="4" w:tplc="9F7865A6" w:tentative="1">
      <w:start w:val="1"/>
      <w:numFmt w:val="bullet"/>
      <w:lvlText w:val="•"/>
      <w:lvlJc w:val="left"/>
      <w:pPr>
        <w:tabs>
          <w:tab w:val="num" w:pos="3600"/>
        </w:tabs>
        <w:ind w:left="3600" w:hanging="360"/>
      </w:pPr>
      <w:rPr>
        <w:rFonts w:ascii="Arial" w:hAnsi="Arial" w:hint="default"/>
      </w:rPr>
    </w:lvl>
    <w:lvl w:ilvl="5" w:tplc="13B66970" w:tentative="1">
      <w:start w:val="1"/>
      <w:numFmt w:val="bullet"/>
      <w:lvlText w:val="•"/>
      <w:lvlJc w:val="left"/>
      <w:pPr>
        <w:tabs>
          <w:tab w:val="num" w:pos="4320"/>
        </w:tabs>
        <w:ind w:left="4320" w:hanging="360"/>
      </w:pPr>
      <w:rPr>
        <w:rFonts w:ascii="Arial" w:hAnsi="Arial" w:hint="default"/>
      </w:rPr>
    </w:lvl>
    <w:lvl w:ilvl="6" w:tplc="44861A56" w:tentative="1">
      <w:start w:val="1"/>
      <w:numFmt w:val="bullet"/>
      <w:lvlText w:val="•"/>
      <w:lvlJc w:val="left"/>
      <w:pPr>
        <w:tabs>
          <w:tab w:val="num" w:pos="5040"/>
        </w:tabs>
        <w:ind w:left="5040" w:hanging="360"/>
      </w:pPr>
      <w:rPr>
        <w:rFonts w:ascii="Arial" w:hAnsi="Arial" w:hint="default"/>
      </w:rPr>
    </w:lvl>
    <w:lvl w:ilvl="7" w:tplc="B7443B20" w:tentative="1">
      <w:start w:val="1"/>
      <w:numFmt w:val="bullet"/>
      <w:lvlText w:val="•"/>
      <w:lvlJc w:val="left"/>
      <w:pPr>
        <w:tabs>
          <w:tab w:val="num" w:pos="5760"/>
        </w:tabs>
        <w:ind w:left="5760" w:hanging="360"/>
      </w:pPr>
      <w:rPr>
        <w:rFonts w:ascii="Arial" w:hAnsi="Arial" w:hint="default"/>
      </w:rPr>
    </w:lvl>
    <w:lvl w:ilvl="8" w:tplc="8858001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7" w15:restartNumberingAfterBreak="0">
    <w:nsid w:val="65C346DD"/>
    <w:multiLevelType w:val="hybridMultilevel"/>
    <w:tmpl w:val="FB1E5604"/>
    <w:lvl w:ilvl="0" w:tplc="3CA022E2">
      <w:start w:val="1"/>
      <w:numFmt w:val="decimal"/>
      <w:pStyle w:val="Normalnumbered"/>
      <w:lvlText w:val="%1."/>
      <w:lvlJc w:val="left"/>
      <w:pPr>
        <w:ind w:left="502"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933C4E"/>
    <w:multiLevelType w:val="hybridMultilevel"/>
    <w:tmpl w:val="57642C46"/>
    <w:lvl w:ilvl="0" w:tplc="F2CE5178">
      <w:start w:val="1"/>
      <w:numFmt w:val="bullet"/>
      <w:pStyle w:val="bulletslevel2after18"/>
      <w:lvlText w:val="o"/>
      <w:lvlJc w:val="left"/>
      <w:pPr>
        <w:ind w:left="1854" w:hanging="360"/>
      </w:pPr>
      <w:rPr>
        <w:rFonts w:ascii="Courier New" w:hAnsi="Courier New" w:cs="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6A2300AC"/>
    <w:multiLevelType w:val="hybridMultilevel"/>
    <w:tmpl w:val="DBDE5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7461D6"/>
    <w:multiLevelType w:val="hybridMultilevel"/>
    <w:tmpl w:val="555888E6"/>
    <w:lvl w:ilvl="0" w:tplc="078CDF2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6D2208"/>
    <w:multiLevelType w:val="hybridMultilevel"/>
    <w:tmpl w:val="645A4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5272671">
    <w:abstractNumId w:val="4"/>
  </w:num>
  <w:num w:numId="2" w16cid:durableId="1666976175">
    <w:abstractNumId w:val="16"/>
  </w:num>
  <w:num w:numId="3" w16cid:durableId="1200967789">
    <w:abstractNumId w:val="11"/>
  </w:num>
  <w:num w:numId="4" w16cid:durableId="1955942024">
    <w:abstractNumId w:val="1"/>
  </w:num>
  <w:num w:numId="5" w16cid:durableId="236861791">
    <w:abstractNumId w:val="0"/>
  </w:num>
  <w:num w:numId="6" w16cid:durableId="199323796">
    <w:abstractNumId w:val="9"/>
  </w:num>
  <w:num w:numId="7" w16cid:durableId="1952396495">
    <w:abstractNumId w:val="19"/>
  </w:num>
  <w:num w:numId="8" w16cid:durableId="163327803">
    <w:abstractNumId w:val="5"/>
  </w:num>
  <w:num w:numId="9" w16cid:durableId="1054619807">
    <w:abstractNumId w:val="10"/>
  </w:num>
  <w:num w:numId="10" w16cid:durableId="1089472577">
    <w:abstractNumId w:val="7"/>
  </w:num>
  <w:num w:numId="11" w16cid:durableId="943925546">
    <w:abstractNumId w:val="12"/>
  </w:num>
  <w:num w:numId="12" w16cid:durableId="1217397333">
    <w:abstractNumId w:val="6"/>
  </w:num>
  <w:num w:numId="13" w16cid:durableId="1784417655">
    <w:abstractNumId w:val="14"/>
  </w:num>
  <w:num w:numId="14" w16cid:durableId="263340220">
    <w:abstractNumId w:val="15"/>
  </w:num>
  <w:num w:numId="15" w16cid:durableId="974068740">
    <w:abstractNumId w:val="21"/>
  </w:num>
  <w:num w:numId="16" w16cid:durableId="263345505">
    <w:abstractNumId w:val="3"/>
  </w:num>
  <w:num w:numId="17" w16cid:durableId="1493331137">
    <w:abstractNumId w:val="20"/>
  </w:num>
  <w:num w:numId="18" w16cid:durableId="916325128">
    <w:abstractNumId w:val="2"/>
  </w:num>
  <w:num w:numId="19" w16cid:durableId="1853301567">
    <w:abstractNumId w:val="13"/>
  </w:num>
  <w:num w:numId="20" w16cid:durableId="2096896163">
    <w:abstractNumId w:val="17"/>
  </w:num>
  <w:num w:numId="21" w16cid:durableId="1161893456">
    <w:abstractNumId w:val="8"/>
  </w:num>
  <w:num w:numId="22" w16cid:durableId="2142454250">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CBB"/>
    <w:rsid w:val="00001402"/>
    <w:rsid w:val="00001651"/>
    <w:rsid w:val="000016D8"/>
    <w:rsid w:val="00002BD7"/>
    <w:rsid w:val="000033CB"/>
    <w:rsid w:val="00003522"/>
    <w:rsid w:val="000101EE"/>
    <w:rsid w:val="00011A63"/>
    <w:rsid w:val="00012C38"/>
    <w:rsid w:val="0001529C"/>
    <w:rsid w:val="00016CE9"/>
    <w:rsid w:val="00020417"/>
    <w:rsid w:val="000208CC"/>
    <w:rsid w:val="00023E68"/>
    <w:rsid w:val="00024DB8"/>
    <w:rsid w:val="0002509C"/>
    <w:rsid w:val="00027C27"/>
    <w:rsid w:val="00027E04"/>
    <w:rsid w:val="000358C0"/>
    <w:rsid w:val="00040D6B"/>
    <w:rsid w:val="00040D9C"/>
    <w:rsid w:val="00041D39"/>
    <w:rsid w:val="000430A6"/>
    <w:rsid w:val="00045010"/>
    <w:rsid w:val="00045265"/>
    <w:rsid w:val="00045F7B"/>
    <w:rsid w:val="00050CFC"/>
    <w:rsid w:val="00051E39"/>
    <w:rsid w:val="00053363"/>
    <w:rsid w:val="00055E4C"/>
    <w:rsid w:val="000573AD"/>
    <w:rsid w:val="000578BB"/>
    <w:rsid w:val="00057E6A"/>
    <w:rsid w:val="000613E4"/>
    <w:rsid w:val="00061B32"/>
    <w:rsid w:val="00063A33"/>
    <w:rsid w:val="00065021"/>
    <w:rsid w:val="00067424"/>
    <w:rsid w:val="00067517"/>
    <w:rsid w:val="000730E3"/>
    <w:rsid w:val="000734BC"/>
    <w:rsid w:val="000750BF"/>
    <w:rsid w:val="000754C5"/>
    <w:rsid w:val="00075BA6"/>
    <w:rsid w:val="0008237C"/>
    <w:rsid w:val="000826E2"/>
    <w:rsid w:val="00086D2E"/>
    <w:rsid w:val="0009059A"/>
    <w:rsid w:val="000909AD"/>
    <w:rsid w:val="00095C5C"/>
    <w:rsid w:val="00095FA0"/>
    <w:rsid w:val="000960B8"/>
    <w:rsid w:val="00097641"/>
    <w:rsid w:val="000A0E87"/>
    <w:rsid w:val="000A12C7"/>
    <w:rsid w:val="000A1342"/>
    <w:rsid w:val="000A542E"/>
    <w:rsid w:val="000A582A"/>
    <w:rsid w:val="000A5C94"/>
    <w:rsid w:val="000A5FC7"/>
    <w:rsid w:val="000A6636"/>
    <w:rsid w:val="000A73B7"/>
    <w:rsid w:val="000A7456"/>
    <w:rsid w:val="000B1991"/>
    <w:rsid w:val="000B2EAC"/>
    <w:rsid w:val="000B30A3"/>
    <w:rsid w:val="000B3FA1"/>
    <w:rsid w:val="000B6578"/>
    <w:rsid w:val="000C0BA7"/>
    <w:rsid w:val="000C0CF4"/>
    <w:rsid w:val="000C1BA0"/>
    <w:rsid w:val="000C3D2B"/>
    <w:rsid w:val="000C51EB"/>
    <w:rsid w:val="000C6DC8"/>
    <w:rsid w:val="000C783A"/>
    <w:rsid w:val="000D537C"/>
    <w:rsid w:val="000D6A12"/>
    <w:rsid w:val="000D7B20"/>
    <w:rsid w:val="000E168A"/>
    <w:rsid w:val="000E2DEE"/>
    <w:rsid w:val="000E6201"/>
    <w:rsid w:val="000E6D33"/>
    <w:rsid w:val="000F3734"/>
    <w:rsid w:val="000F537F"/>
    <w:rsid w:val="000F7C70"/>
    <w:rsid w:val="00101321"/>
    <w:rsid w:val="00107EE8"/>
    <w:rsid w:val="00112F54"/>
    <w:rsid w:val="001203C4"/>
    <w:rsid w:val="0012047A"/>
    <w:rsid w:val="00124CA7"/>
    <w:rsid w:val="001254D5"/>
    <w:rsid w:val="001304F9"/>
    <w:rsid w:val="001305F7"/>
    <w:rsid w:val="001306FA"/>
    <w:rsid w:val="00133414"/>
    <w:rsid w:val="00137570"/>
    <w:rsid w:val="00143ABF"/>
    <w:rsid w:val="0014423D"/>
    <w:rsid w:val="001444A8"/>
    <w:rsid w:val="00145480"/>
    <w:rsid w:val="00151C28"/>
    <w:rsid w:val="0015205A"/>
    <w:rsid w:val="001558E7"/>
    <w:rsid w:val="001628D7"/>
    <w:rsid w:val="00166C97"/>
    <w:rsid w:val="00167D7F"/>
    <w:rsid w:val="0017206E"/>
    <w:rsid w:val="00174BF2"/>
    <w:rsid w:val="0017647B"/>
    <w:rsid w:val="001833F8"/>
    <w:rsid w:val="00183B02"/>
    <w:rsid w:val="00184D7C"/>
    <w:rsid w:val="001855EB"/>
    <w:rsid w:val="0018653F"/>
    <w:rsid w:val="00186CDB"/>
    <w:rsid w:val="00187562"/>
    <w:rsid w:val="00193272"/>
    <w:rsid w:val="00193F2D"/>
    <w:rsid w:val="00194474"/>
    <w:rsid w:val="00195E65"/>
    <w:rsid w:val="001974C4"/>
    <w:rsid w:val="001A0DA9"/>
    <w:rsid w:val="001A262D"/>
    <w:rsid w:val="001A48EF"/>
    <w:rsid w:val="001A53E5"/>
    <w:rsid w:val="001A688D"/>
    <w:rsid w:val="001A7264"/>
    <w:rsid w:val="001B2B90"/>
    <w:rsid w:val="001B4B76"/>
    <w:rsid w:val="001B4CD8"/>
    <w:rsid w:val="001C4D75"/>
    <w:rsid w:val="001C5E44"/>
    <w:rsid w:val="001C6406"/>
    <w:rsid w:val="001D02B9"/>
    <w:rsid w:val="001D0502"/>
    <w:rsid w:val="001D06BF"/>
    <w:rsid w:val="001D69A2"/>
    <w:rsid w:val="001E0D1D"/>
    <w:rsid w:val="001E0DF0"/>
    <w:rsid w:val="001E125B"/>
    <w:rsid w:val="001E34F0"/>
    <w:rsid w:val="001E43F6"/>
    <w:rsid w:val="001E4EB6"/>
    <w:rsid w:val="001E4FF8"/>
    <w:rsid w:val="001E7E0F"/>
    <w:rsid w:val="001F382C"/>
    <w:rsid w:val="001F3AD0"/>
    <w:rsid w:val="001F5805"/>
    <w:rsid w:val="001F5B39"/>
    <w:rsid w:val="001F766B"/>
    <w:rsid w:val="001F7705"/>
    <w:rsid w:val="00200B91"/>
    <w:rsid w:val="0020416E"/>
    <w:rsid w:val="002071C7"/>
    <w:rsid w:val="00210122"/>
    <w:rsid w:val="0021195C"/>
    <w:rsid w:val="00211D74"/>
    <w:rsid w:val="002122C4"/>
    <w:rsid w:val="00212A09"/>
    <w:rsid w:val="00212F6D"/>
    <w:rsid w:val="002140A1"/>
    <w:rsid w:val="00214C94"/>
    <w:rsid w:val="002152CF"/>
    <w:rsid w:val="00216363"/>
    <w:rsid w:val="00220297"/>
    <w:rsid w:val="002204D5"/>
    <w:rsid w:val="00221B24"/>
    <w:rsid w:val="00221C7E"/>
    <w:rsid w:val="00223C32"/>
    <w:rsid w:val="00225C4C"/>
    <w:rsid w:val="0023164C"/>
    <w:rsid w:val="002325D4"/>
    <w:rsid w:val="0023285A"/>
    <w:rsid w:val="00236A6E"/>
    <w:rsid w:val="00242C9D"/>
    <w:rsid w:val="00242F1E"/>
    <w:rsid w:val="00243EF5"/>
    <w:rsid w:val="00244B54"/>
    <w:rsid w:val="00244F85"/>
    <w:rsid w:val="0024508D"/>
    <w:rsid w:val="00246A45"/>
    <w:rsid w:val="00246D1B"/>
    <w:rsid w:val="0024781F"/>
    <w:rsid w:val="00250B39"/>
    <w:rsid w:val="002520DE"/>
    <w:rsid w:val="00254EEE"/>
    <w:rsid w:val="002575BC"/>
    <w:rsid w:val="00257FBD"/>
    <w:rsid w:val="00264431"/>
    <w:rsid w:val="002674E6"/>
    <w:rsid w:val="00270BB2"/>
    <w:rsid w:val="002712E3"/>
    <w:rsid w:val="00271F99"/>
    <w:rsid w:val="00273EB8"/>
    <w:rsid w:val="002743F8"/>
    <w:rsid w:val="00275642"/>
    <w:rsid w:val="00277942"/>
    <w:rsid w:val="00280333"/>
    <w:rsid w:val="00281579"/>
    <w:rsid w:val="00282C48"/>
    <w:rsid w:val="00283CAC"/>
    <w:rsid w:val="0028767E"/>
    <w:rsid w:val="002876F0"/>
    <w:rsid w:val="0029430D"/>
    <w:rsid w:val="002A0464"/>
    <w:rsid w:val="002A58E7"/>
    <w:rsid w:val="002B12AB"/>
    <w:rsid w:val="002B61B7"/>
    <w:rsid w:val="002C06E5"/>
    <w:rsid w:val="002C1B91"/>
    <w:rsid w:val="002D056E"/>
    <w:rsid w:val="002D2656"/>
    <w:rsid w:val="002D7ACA"/>
    <w:rsid w:val="002E0A7D"/>
    <w:rsid w:val="002E0B9D"/>
    <w:rsid w:val="002E11F7"/>
    <w:rsid w:val="002E387A"/>
    <w:rsid w:val="002E6C83"/>
    <w:rsid w:val="002E70F2"/>
    <w:rsid w:val="002E7700"/>
    <w:rsid w:val="002E7934"/>
    <w:rsid w:val="002F0118"/>
    <w:rsid w:val="002F2BA7"/>
    <w:rsid w:val="002F6B3C"/>
    <w:rsid w:val="0030093E"/>
    <w:rsid w:val="00304CC6"/>
    <w:rsid w:val="0030536D"/>
    <w:rsid w:val="0030677D"/>
    <w:rsid w:val="00306C61"/>
    <w:rsid w:val="00310D4D"/>
    <w:rsid w:val="00311E22"/>
    <w:rsid w:val="00312F92"/>
    <w:rsid w:val="00320DAD"/>
    <w:rsid w:val="00320E4E"/>
    <w:rsid w:val="003226A9"/>
    <w:rsid w:val="00322862"/>
    <w:rsid w:val="00326343"/>
    <w:rsid w:val="003275BE"/>
    <w:rsid w:val="00327E15"/>
    <w:rsid w:val="00327F91"/>
    <w:rsid w:val="00330481"/>
    <w:rsid w:val="00330918"/>
    <w:rsid w:val="00330CB1"/>
    <w:rsid w:val="00334AA7"/>
    <w:rsid w:val="0034039C"/>
    <w:rsid w:val="003425EA"/>
    <w:rsid w:val="003519C0"/>
    <w:rsid w:val="00354912"/>
    <w:rsid w:val="00355415"/>
    <w:rsid w:val="003569AD"/>
    <w:rsid w:val="003622E2"/>
    <w:rsid w:val="00363C3C"/>
    <w:rsid w:val="00366A9A"/>
    <w:rsid w:val="003705B5"/>
    <w:rsid w:val="00375715"/>
    <w:rsid w:val="0037582B"/>
    <w:rsid w:val="00375F90"/>
    <w:rsid w:val="00376610"/>
    <w:rsid w:val="00380551"/>
    <w:rsid w:val="00383829"/>
    <w:rsid w:val="003872C5"/>
    <w:rsid w:val="0038749E"/>
    <w:rsid w:val="0039570F"/>
    <w:rsid w:val="00395992"/>
    <w:rsid w:val="003A1F5A"/>
    <w:rsid w:val="003A2B4C"/>
    <w:rsid w:val="003A3DAE"/>
    <w:rsid w:val="003A7D18"/>
    <w:rsid w:val="003B18B5"/>
    <w:rsid w:val="003C1C16"/>
    <w:rsid w:val="003C2011"/>
    <w:rsid w:val="003C22D8"/>
    <w:rsid w:val="003C282A"/>
    <w:rsid w:val="003C7214"/>
    <w:rsid w:val="003C7C27"/>
    <w:rsid w:val="003D43D0"/>
    <w:rsid w:val="003D7019"/>
    <w:rsid w:val="003E0574"/>
    <w:rsid w:val="003E0D05"/>
    <w:rsid w:val="003E16BC"/>
    <w:rsid w:val="003E2271"/>
    <w:rsid w:val="003E6FE3"/>
    <w:rsid w:val="003E78AE"/>
    <w:rsid w:val="003E7D95"/>
    <w:rsid w:val="003F1909"/>
    <w:rsid w:val="004042EE"/>
    <w:rsid w:val="004062C5"/>
    <w:rsid w:val="004068F8"/>
    <w:rsid w:val="00410B3A"/>
    <w:rsid w:val="00411ED0"/>
    <w:rsid w:val="00412D38"/>
    <w:rsid w:val="00413BAC"/>
    <w:rsid w:val="0041756C"/>
    <w:rsid w:val="004207B6"/>
    <w:rsid w:val="00420AC6"/>
    <w:rsid w:val="0042299B"/>
    <w:rsid w:val="004249C2"/>
    <w:rsid w:val="0042796A"/>
    <w:rsid w:val="00430FFE"/>
    <w:rsid w:val="00431AF1"/>
    <w:rsid w:val="004373F2"/>
    <w:rsid w:val="00437F32"/>
    <w:rsid w:val="0044054C"/>
    <w:rsid w:val="004414AC"/>
    <w:rsid w:val="00441FE4"/>
    <w:rsid w:val="004432CC"/>
    <w:rsid w:val="00443D63"/>
    <w:rsid w:val="004456EA"/>
    <w:rsid w:val="0044729E"/>
    <w:rsid w:val="00447A46"/>
    <w:rsid w:val="0045135C"/>
    <w:rsid w:val="00452493"/>
    <w:rsid w:val="00454AC5"/>
    <w:rsid w:val="004566AD"/>
    <w:rsid w:val="0046323E"/>
    <w:rsid w:val="00464B7A"/>
    <w:rsid w:val="00467575"/>
    <w:rsid w:val="00470BB9"/>
    <w:rsid w:val="0047231F"/>
    <w:rsid w:val="00474132"/>
    <w:rsid w:val="0047535E"/>
    <w:rsid w:val="00475969"/>
    <w:rsid w:val="00477CAA"/>
    <w:rsid w:val="00480A59"/>
    <w:rsid w:val="00481681"/>
    <w:rsid w:val="00483C0E"/>
    <w:rsid w:val="00485BC0"/>
    <w:rsid w:val="00486AF0"/>
    <w:rsid w:val="004872E3"/>
    <w:rsid w:val="00487DD6"/>
    <w:rsid w:val="00494250"/>
    <w:rsid w:val="00494935"/>
    <w:rsid w:val="00494CFA"/>
    <w:rsid w:val="00495E37"/>
    <w:rsid w:val="00496751"/>
    <w:rsid w:val="00497147"/>
    <w:rsid w:val="004A002C"/>
    <w:rsid w:val="004A03EA"/>
    <w:rsid w:val="004A45F8"/>
    <w:rsid w:val="004A50D2"/>
    <w:rsid w:val="004A53F1"/>
    <w:rsid w:val="004A68E4"/>
    <w:rsid w:val="004A71DA"/>
    <w:rsid w:val="004A7A04"/>
    <w:rsid w:val="004B1B68"/>
    <w:rsid w:val="004B2D66"/>
    <w:rsid w:val="004B2D7A"/>
    <w:rsid w:val="004B5640"/>
    <w:rsid w:val="004B65A5"/>
    <w:rsid w:val="004B73E6"/>
    <w:rsid w:val="004B776F"/>
    <w:rsid w:val="004B7852"/>
    <w:rsid w:val="004B78BD"/>
    <w:rsid w:val="004C382F"/>
    <w:rsid w:val="004C3E3E"/>
    <w:rsid w:val="004D0BBB"/>
    <w:rsid w:val="004D10D5"/>
    <w:rsid w:val="004D24CE"/>
    <w:rsid w:val="004D6AFA"/>
    <w:rsid w:val="004D6BA3"/>
    <w:rsid w:val="004D771C"/>
    <w:rsid w:val="004E17E9"/>
    <w:rsid w:val="004E2A04"/>
    <w:rsid w:val="004E3AAE"/>
    <w:rsid w:val="004E56DF"/>
    <w:rsid w:val="004E58CD"/>
    <w:rsid w:val="004F2656"/>
    <w:rsid w:val="004F3D88"/>
    <w:rsid w:val="004F5A45"/>
    <w:rsid w:val="004F6C86"/>
    <w:rsid w:val="004F7E4D"/>
    <w:rsid w:val="00501481"/>
    <w:rsid w:val="00504920"/>
    <w:rsid w:val="00513033"/>
    <w:rsid w:val="0051431F"/>
    <w:rsid w:val="00515729"/>
    <w:rsid w:val="00517E82"/>
    <w:rsid w:val="00520423"/>
    <w:rsid w:val="0052548F"/>
    <w:rsid w:val="0052781A"/>
    <w:rsid w:val="00532089"/>
    <w:rsid w:val="00536501"/>
    <w:rsid w:val="005377F9"/>
    <w:rsid w:val="005379F6"/>
    <w:rsid w:val="00542384"/>
    <w:rsid w:val="00542969"/>
    <w:rsid w:val="00544291"/>
    <w:rsid w:val="00544D1F"/>
    <w:rsid w:val="0054713B"/>
    <w:rsid w:val="00551C3C"/>
    <w:rsid w:val="00556373"/>
    <w:rsid w:val="00561571"/>
    <w:rsid w:val="00562571"/>
    <w:rsid w:val="00562DC9"/>
    <w:rsid w:val="00566067"/>
    <w:rsid w:val="00566EE3"/>
    <w:rsid w:val="00566F5D"/>
    <w:rsid w:val="00567A88"/>
    <w:rsid w:val="00567C22"/>
    <w:rsid w:val="005711C5"/>
    <w:rsid w:val="005748AC"/>
    <w:rsid w:val="00577CE2"/>
    <w:rsid w:val="0058065E"/>
    <w:rsid w:val="00590305"/>
    <w:rsid w:val="00592151"/>
    <w:rsid w:val="005A09C8"/>
    <w:rsid w:val="005A1F75"/>
    <w:rsid w:val="005A2AEC"/>
    <w:rsid w:val="005A3BF3"/>
    <w:rsid w:val="005A59B2"/>
    <w:rsid w:val="005B181F"/>
    <w:rsid w:val="005B1D83"/>
    <w:rsid w:val="005B5970"/>
    <w:rsid w:val="005B6D05"/>
    <w:rsid w:val="005C02F4"/>
    <w:rsid w:val="005C0460"/>
    <w:rsid w:val="005C084B"/>
    <w:rsid w:val="005C0F38"/>
    <w:rsid w:val="005C60B1"/>
    <w:rsid w:val="005D0C3A"/>
    <w:rsid w:val="005D3747"/>
    <w:rsid w:val="005D3DA7"/>
    <w:rsid w:val="005D613C"/>
    <w:rsid w:val="005E3A11"/>
    <w:rsid w:val="005E6F29"/>
    <w:rsid w:val="005F10C8"/>
    <w:rsid w:val="005F1431"/>
    <w:rsid w:val="005F2797"/>
    <w:rsid w:val="005F3167"/>
    <w:rsid w:val="005F3B2F"/>
    <w:rsid w:val="005F49DC"/>
    <w:rsid w:val="005F54AB"/>
    <w:rsid w:val="005F573D"/>
    <w:rsid w:val="005F5E8F"/>
    <w:rsid w:val="00600C00"/>
    <w:rsid w:val="0060442F"/>
    <w:rsid w:val="006065DB"/>
    <w:rsid w:val="006072A7"/>
    <w:rsid w:val="00610012"/>
    <w:rsid w:val="00610094"/>
    <w:rsid w:val="00610454"/>
    <w:rsid w:val="00611825"/>
    <w:rsid w:val="00613D0A"/>
    <w:rsid w:val="00616F43"/>
    <w:rsid w:val="00617727"/>
    <w:rsid w:val="00620D5E"/>
    <w:rsid w:val="0062252A"/>
    <w:rsid w:val="00624379"/>
    <w:rsid w:val="006263FC"/>
    <w:rsid w:val="0063137B"/>
    <w:rsid w:val="00631B26"/>
    <w:rsid w:val="00632D5B"/>
    <w:rsid w:val="00634EC0"/>
    <w:rsid w:val="006410EB"/>
    <w:rsid w:val="006416F3"/>
    <w:rsid w:val="00641F5B"/>
    <w:rsid w:val="00642CA0"/>
    <w:rsid w:val="00643EF1"/>
    <w:rsid w:val="00643FBE"/>
    <w:rsid w:val="006446B6"/>
    <w:rsid w:val="00651B74"/>
    <w:rsid w:val="00660571"/>
    <w:rsid w:val="00662720"/>
    <w:rsid w:val="00664A86"/>
    <w:rsid w:val="00664EAA"/>
    <w:rsid w:val="006652ED"/>
    <w:rsid w:val="006668F1"/>
    <w:rsid w:val="006670F6"/>
    <w:rsid w:val="00672594"/>
    <w:rsid w:val="00673015"/>
    <w:rsid w:val="006733A4"/>
    <w:rsid w:val="00680EF4"/>
    <w:rsid w:val="00684017"/>
    <w:rsid w:val="0068671C"/>
    <w:rsid w:val="0069427A"/>
    <w:rsid w:val="00694AA9"/>
    <w:rsid w:val="00696D31"/>
    <w:rsid w:val="00696EEA"/>
    <w:rsid w:val="00697C5B"/>
    <w:rsid w:val="006A0DE9"/>
    <w:rsid w:val="006B1201"/>
    <w:rsid w:val="006B5B05"/>
    <w:rsid w:val="006C10A8"/>
    <w:rsid w:val="006C2822"/>
    <w:rsid w:val="006C438C"/>
    <w:rsid w:val="006C5E2C"/>
    <w:rsid w:val="006C7863"/>
    <w:rsid w:val="006D02E1"/>
    <w:rsid w:val="006D035F"/>
    <w:rsid w:val="006D1CBB"/>
    <w:rsid w:val="006D5478"/>
    <w:rsid w:val="006E0713"/>
    <w:rsid w:val="006E39B3"/>
    <w:rsid w:val="006E5051"/>
    <w:rsid w:val="006E546F"/>
    <w:rsid w:val="006E7023"/>
    <w:rsid w:val="006F1F62"/>
    <w:rsid w:val="006F33B9"/>
    <w:rsid w:val="006F504E"/>
    <w:rsid w:val="006F640B"/>
    <w:rsid w:val="00701622"/>
    <w:rsid w:val="007020DE"/>
    <w:rsid w:val="00702EA7"/>
    <w:rsid w:val="00706379"/>
    <w:rsid w:val="00706795"/>
    <w:rsid w:val="007070AF"/>
    <w:rsid w:val="00707ACD"/>
    <w:rsid w:val="00717FE2"/>
    <w:rsid w:val="00720ABB"/>
    <w:rsid w:val="00725D34"/>
    <w:rsid w:val="00730763"/>
    <w:rsid w:val="00730F37"/>
    <w:rsid w:val="007330D6"/>
    <w:rsid w:val="00733A44"/>
    <w:rsid w:val="007373AE"/>
    <w:rsid w:val="00737CD4"/>
    <w:rsid w:val="00740004"/>
    <w:rsid w:val="00740A05"/>
    <w:rsid w:val="0074124C"/>
    <w:rsid w:val="00741700"/>
    <w:rsid w:val="0074435C"/>
    <w:rsid w:val="00744F23"/>
    <w:rsid w:val="00745DBB"/>
    <w:rsid w:val="00745DC3"/>
    <w:rsid w:val="00746B35"/>
    <w:rsid w:val="007508BC"/>
    <w:rsid w:val="00752095"/>
    <w:rsid w:val="007533DE"/>
    <w:rsid w:val="00754691"/>
    <w:rsid w:val="007569C2"/>
    <w:rsid w:val="0075703D"/>
    <w:rsid w:val="0075793E"/>
    <w:rsid w:val="00761BD2"/>
    <w:rsid w:val="00763C7A"/>
    <w:rsid w:val="00765400"/>
    <w:rsid w:val="00771265"/>
    <w:rsid w:val="007739F9"/>
    <w:rsid w:val="007773D8"/>
    <w:rsid w:val="007776CC"/>
    <w:rsid w:val="007815E4"/>
    <w:rsid w:val="00782395"/>
    <w:rsid w:val="0078260F"/>
    <w:rsid w:val="007837E2"/>
    <w:rsid w:val="007854D5"/>
    <w:rsid w:val="007861CE"/>
    <w:rsid w:val="007872A0"/>
    <w:rsid w:val="007905F9"/>
    <w:rsid w:val="007943B8"/>
    <w:rsid w:val="00795035"/>
    <w:rsid w:val="00795D14"/>
    <w:rsid w:val="007961C8"/>
    <w:rsid w:val="007A24FC"/>
    <w:rsid w:val="007A37F3"/>
    <w:rsid w:val="007A38D2"/>
    <w:rsid w:val="007A3EA1"/>
    <w:rsid w:val="007B051C"/>
    <w:rsid w:val="007B47EA"/>
    <w:rsid w:val="007B6250"/>
    <w:rsid w:val="007C0115"/>
    <w:rsid w:val="007C0FE1"/>
    <w:rsid w:val="007C12B9"/>
    <w:rsid w:val="007C268C"/>
    <w:rsid w:val="007C2A94"/>
    <w:rsid w:val="007C2F5E"/>
    <w:rsid w:val="007C4D5E"/>
    <w:rsid w:val="007C71E6"/>
    <w:rsid w:val="007C7996"/>
    <w:rsid w:val="007D029D"/>
    <w:rsid w:val="007D0EC0"/>
    <w:rsid w:val="007D4ABF"/>
    <w:rsid w:val="007D5354"/>
    <w:rsid w:val="007D575D"/>
    <w:rsid w:val="007D7113"/>
    <w:rsid w:val="007E059F"/>
    <w:rsid w:val="007E1DC0"/>
    <w:rsid w:val="007E1F90"/>
    <w:rsid w:val="007E3411"/>
    <w:rsid w:val="007E3E8B"/>
    <w:rsid w:val="007E4AF6"/>
    <w:rsid w:val="007E54BB"/>
    <w:rsid w:val="007E612E"/>
    <w:rsid w:val="007E635D"/>
    <w:rsid w:val="007E6446"/>
    <w:rsid w:val="007E72AB"/>
    <w:rsid w:val="007E72C3"/>
    <w:rsid w:val="007E789C"/>
    <w:rsid w:val="007E7933"/>
    <w:rsid w:val="007E7E51"/>
    <w:rsid w:val="007F09C0"/>
    <w:rsid w:val="007F1FE1"/>
    <w:rsid w:val="007F2606"/>
    <w:rsid w:val="007F3324"/>
    <w:rsid w:val="007F555D"/>
    <w:rsid w:val="007F7785"/>
    <w:rsid w:val="008005BF"/>
    <w:rsid w:val="008022E5"/>
    <w:rsid w:val="00804C0E"/>
    <w:rsid w:val="00806539"/>
    <w:rsid w:val="00811A46"/>
    <w:rsid w:val="00811D38"/>
    <w:rsid w:val="0081401A"/>
    <w:rsid w:val="00814075"/>
    <w:rsid w:val="00815AD9"/>
    <w:rsid w:val="00816221"/>
    <w:rsid w:val="008206E3"/>
    <w:rsid w:val="0082153F"/>
    <w:rsid w:val="00826ACA"/>
    <w:rsid w:val="00826BCF"/>
    <w:rsid w:val="008274F8"/>
    <w:rsid w:val="00830B68"/>
    <w:rsid w:val="008311CD"/>
    <w:rsid w:val="00832D21"/>
    <w:rsid w:val="008346C2"/>
    <w:rsid w:val="00841A92"/>
    <w:rsid w:val="00841B6E"/>
    <w:rsid w:val="00842D69"/>
    <w:rsid w:val="00843F3A"/>
    <w:rsid w:val="008447AA"/>
    <w:rsid w:val="008458B3"/>
    <w:rsid w:val="00847CF6"/>
    <w:rsid w:val="00852605"/>
    <w:rsid w:val="00855CDD"/>
    <w:rsid w:val="00855EF2"/>
    <w:rsid w:val="00857548"/>
    <w:rsid w:val="008649DB"/>
    <w:rsid w:val="00864ACF"/>
    <w:rsid w:val="00865E27"/>
    <w:rsid w:val="008803EC"/>
    <w:rsid w:val="00881B84"/>
    <w:rsid w:val="00882EB6"/>
    <w:rsid w:val="008854B8"/>
    <w:rsid w:val="00885FED"/>
    <w:rsid w:val="0089071E"/>
    <w:rsid w:val="008A5F7C"/>
    <w:rsid w:val="008A629A"/>
    <w:rsid w:val="008B0787"/>
    <w:rsid w:val="008B0E0B"/>
    <w:rsid w:val="008B1FB4"/>
    <w:rsid w:val="008B24E2"/>
    <w:rsid w:val="008B27C1"/>
    <w:rsid w:val="008B4ABA"/>
    <w:rsid w:val="008B6CB2"/>
    <w:rsid w:val="008C1D52"/>
    <w:rsid w:val="008C24AA"/>
    <w:rsid w:val="008C2E90"/>
    <w:rsid w:val="008C318A"/>
    <w:rsid w:val="008C43DE"/>
    <w:rsid w:val="008C4DBA"/>
    <w:rsid w:val="008D56AE"/>
    <w:rsid w:val="008D6115"/>
    <w:rsid w:val="008E0025"/>
    <w:rsid w:val="008E2E0E"/>
    <w:rsid w:val="008E3A70"/>
    <w:rsid w:val="008E3B7E"/>
    <w:rsid w:val="008E3C1A"/>
    <w:rsid w:val="008E629C"/>
    <w:rsid w:val="008E64ED"/>
    <w:rsid w:val="008F27B6"/>
    <w:rsid w:val="008F3644"/>
    <w:rsid w:val="008F4228"/>
    <w:rsid w:val="008F5D24"/>
    <w:rsid w:val="008F72EC"/>
    <w:rsid w:val="009004EB"/>
    <w:rsid w:val="00900991"/>
    <w:rsid w:val="00901FA9"/>
    <w:rsid w:val="00902999"/>
    <w:rsid w:val="00903B86"/>
    <w:rsid w:val="0090516F"/>
    <w:rsid w:val="00910D06"/>
    <w:rsid w:val="00913EF5"/>
    <w:rsid w:val="009147DB"/>
    <w:rsid w:val="00920B60"/>
    <w:rsid w:val="00921438"/>
    <w:rsid w:val="00921C4E"/>
    <w:rsid w:val="00922D0C"/>
    <w:rsid w:val="00923AC2"/>
    <w:rsid w:val="0092566D"/>
    <w:rsid w:val="00940A49"/>
    <w:rsid w:val="00940C21"/>
    <w:rsid w:val="00941404"/>
    <w:rsid w:val="00942688"/>
    <w:rsid w:val="00942E19"/>
    <w:rsid w:val="00947951"/>
    <w:rsid w:val="0095481A"/>
    <w:rsid w:val="00954869"/>
    <w:rsid w:val="00957270"/>
    <w:rsid w:val="009606E1"/>
    <w:rsid w:val="00962733"/>
    <w:rsid w:val="00963485"/>
    <w:rsid w:val="009662FF"/>
    <w:rsid w:val="00973FB0"/>
    <w:rsid w:val="00975D19"/>
    <w:rsid w:val="0098028F"/>
    <w:rsid w:val="009818E8"/>
    <w:rsid w:val="00982B01"/>
    <w:rsid w:val="00986815"/>
    <w:rsid w:val="00986FE8"/>
    <w:rsid w:val="009874E0"/>
    <w:rsid w:val="00991CED"/>
    <w:rsid w:val="00991EC3"/>
    <w:rsid w:val="00992538"/>
    <w:rsid w:val="00992FF7"/>
    <w:rsid w:val="00993A04"/>
    <w:rsid w:val="00994CCA"/>
    <w:rsid w:val="00995203"/>
    <w:rsid w:val="009A03B8"/>
    <w:rsid w:val="009A2564"/>
    <w:rsid w:val="009A30E4"/>
    <w:rsid w:val="009A3626"/>
    <w:rsid w:val="009A530B"/>
    <w:rsid w:val="009A5AE8"/>
    <w:rsid w:val="009A7D96"/>
    <w:rsid w:val="009B05EE"/>
    <w:rsid w:val="009B3C74"/>
    <w:rsid w:val="009B7615"/>
    <w:rsid w:val="009B78CB"/>
    <w:rsid w:val="009B7EA1"/>
    <w:rsid w:val="009C0436"/>
    <w:rsid w:val="009D2F3A"/>
    <w:rsid w:val="009D4B88"/>
    <w:rsid w:val="009D6997"/>
    <w:rsid w:val="009E278E"/>
    <w:rsid w:val="009F0C99"/>
    <w:rsid w:val="009F288C"/>
    <w:rsid w:val="009F750D"/>
    <w:rsid w:val="009F78B3"/>
    <w:rsid w:val="00A00D90"/>
    <w:rsid w:val="00A03280"/>
    <w:rsid w:val="00A0390C"/>
    <w:rsid w:val="00A04479"/>
    <w:rsid w:val="00A07040"/>
    <w:rsid w:val="00A07143"/>
    <w:rsid w:val="00A071B2"/>
    <w:rsid w:val="00A1211F"/>
    <w:rsid w:val="00A1434A"/>
    <w:rsid w:val="00A161FB"/>
    <w:rsid w:val="00A2015F"/>
    <w:rsid w:val="00A2385B"/>
    <w:rsid w:val="00A23A9F"/>
    <w:rsid w:val="00A262B1"/>
    <w:rsid w:val="00A305BE"/>
    <w:rsid w:val="00A360EC"/>
    <w:rsid w:val="00A37862"/>
    <w:rsid w:val="00A40E20"/>
    <w:rsid w:val="00A4119F"/>
    <w:rsid w:val="00A4211C"/>
    <w:rsid w:val="00A55F86"/>
    <w:rsid w:val="00A60548"/>
    <w:rsid w:val="00A60EC7"/>
    <w:rsid w:val="00A61767"/>
    <w:rsid w:val="00A65BB2"/>
    <w:rsid w:val="00A71599"/>
    <w:rsid w:val="00A71DCB"/>
    <w:rsid w:val="00A74333"/>
    <w:rsid w:val="00A772E6"/>
    <w:rsid w:val="00A82A22"/>
    <w:rsid w:val="00A834F0"/>
    <w:rsid w:val="00A8534B"/>
    <w:rsid w:val="00A853D0"/>
    <w:rsid w:val="00A85DF6"/>
    <w:rsid w:val="00A86EA0"/>
    <w:rsid w:val="00A873BC"/>
    <w:rsid w:val="00A901CC"/>
    <w:rsid w:val="00A92FB8"/>
    <w:rsid w:val="00A932EA"/>
    <w:rsid w:val="00A94B34"/>
    <w:rsid w:val="00A94E8B"/>
    <w:rsid w:val="00A96166"/>
    <w:rsid w:val="00A972DB"/>
    <w:rsid w:val="00AA1F95"/>
    <w:rsid w:val="00AA30F7"/>
    <w:rsid w:val="00AA4DDB"/>
    <w:rsid w:val="00AA7813"/>
    <w:rsid w:val="00AB0980"/>
    <w:rsid w:val="00AB24F5"/>
    <w:rsid w:val="00AB2AF7"/>
    <w:rsid w:val="00AB33D3"/>
    <w:rsid w:val="00AB74FD"/>
    <w:rsid w:val="00AC128A"/>
    <w:rsid w:val="00AC1DDF"/>
    <w:rsid w:val="00AC2B36"/>
    <w:rsid w:val="00AC399F"/>
    <w:rsid w:val="00AC50A6"/>
    <w:rsid w:val="00AC5676"/>
    <w:rsid w:val="00AC5DDA"/>
    <w:rsid w:val="00AD1B53"/>
    <w:rsid w:val="00AD24E4"/>
    <w:rsid w:val="00AD56DD"/>
    <w:rsid w:val="00AD722C"/>
    <w:rsid w:val="00AE0C2A"/>
    <w:rsid w:val="00AE2F72"/>
    <w:rsid w:val="00AE5860"/>
    <w:rsid w:val="00AE6833"/>
    <w:rsid w:val="00AE6A30"/>
    <w:rsid w:val="00AE6B5A"/>
    <w:rsid w:val="00AE6DCD"/>
    <w:rsid w:val="00AF0589"/>
    <w:rsid w:val="00AF1C23"/>
    <w:rsid w:val="00AF5259"/>
    <w:rsid w:val="00AF54B4"/>
    <w:rsid w:val="00AF607B"/>
    <w:rsid w:val="00AF6218"/>
    <w:rsid w:val="00AF7CDE"/>
    <w:rsid w:val="00B002C5"/>
    <w:rsid w:val="00B003FF"/>
    <w:rsid w:val="00B02B3D"/>
    <w:rsid w:val="00B057EF"/>
    <w:rsid w:val="00B10752"/>
    <w:rsid w:val="00B116AE"/>
    <w:rsid w:val="00B11933"/>
    <w:rsid w:val="00B15FC1"/>
    <w:rsid w:val="00B16CB2"/>
    <w:rsid w:val="00B2204C"/>
    <w:rsid w:val="00B222A3"/>
    <w:rsid w:val="00B24ECD"/>
    <w:rsid w:val="00B257F6"/>
    <w:rsid w:val="00B2708C"/>
    <w:rsid w:val="00B272C2"/>
    <w:rsid w:val="00B306DF"/>
    <w:rsid w:val="00B30CF7"/>
    <w:rsid w:val="00B31322"/>
    <w:rsid w:val="00B3151B"/>
    <w:rsid w:val="00B35898"/>
    <w:rsid w:val="00B360FF"/>
    <w:rsid w:val="00B3738D"/>
    <w:rsid w:val="00B37543"/>
    <w:rsid w:val="00B46341"/>
    <w:rsid w:val="00B51BDC"/>
    <w:rsid w:val="00B561C0"/>
    <w:rsid w:val="00B567A4"/>
    <w:rsid w:val="00B571E9"/>
    <w:rsid w:val="00B60174"/>
    <w:rsid w:val="00B6139B"/>
    <w:rsid w:val="00B66FB7"/>
    <w:rsid w:val="00B703ED"/>
    <w:rsid w:val="00B717F1"/>
    <w:rsid w:val="00B72CC7"/>
    <w:rsid w:val="00B7612D"/>
    <w:rsid w:val="00B773CE"/>
    <w:rsid w:val="00B866F1"/>
    <w:rsid w:val="00B93799"/>
    <w:rsid w:val="00B9412D"/>
    <w:rsid w:val="00B95DF9"/>
    <w:rsid w:val="00BA08AA"/>
    <w:rsid w:val="00BA3D96"/>
    <w:rsid w:val="00BA53B9"/>
    <w:rsid w:val="00BA61C2"/>
    <w:rsid w:val="00BB184B"/>
    <w:rsid w:val="00BB2B3C"/>
    <w:rsid w:val="00BB2C1F"/>
    <w:rsid w:val="00BB4444"/>
    <w:rsid w:val="00BC0FF7"/>
    <w:rsid w:val="00BC1DC0"/>
    <w:rsid w:val="00BC69BB"/>
    <w:rsid w:val="00BD2440"/>
    <w:rsid w:val="00BD2F8D"/>
    <w:rsid w:val="00BD3C38"/>
    <w:rsid w:val="00BD57A2"/>
    <w:rsid w:val="00BE5786"/>
    <w:rsid w:val="00BE616C"/>
    <w:rsid w:val="00BF0E7C"/>
    <w:rsid w:val="00BF3661"/>
    <w:rsid w:val="00BF4374"/>
    <w:rsid w:val="00BF4953"/>
    <w:rsid w:val="00BF4A75"/>
    <w:rsid w:val="00BF4CDA"/>
    <w:rsid w:val="00BF71AA"/>
    <w:rsid w:val="00BF746D"/>
    <w:rsid w:val="00C0236B"/>
    <w:rsid w:val="00C030FE"/>
    <w:rsid w:val="00C07A30"/>
    <w:rsid w:val="00C106E8"/>
    <w:rsid w:val="00C122B1"/>
    <w:rsid w:val="00C13094"/>
    <w:rsid w:val="00C1510E"/>
    <w:rsid w:val="00C2413E"/>
    <w:rsid w:val="00C302FE"/>
    <w:rsid w:val="00C30CB0"/>
    <w:rsid w:val="00C3151B"/>
    <w:rsid w:val="00C323E3"/>
    <w:rsid w:val="00C32770"/>
    <w:rsid w:val="00C3423F"/>
    <w:rsid w:val="00C35084"/>
    <w:rsid w:val="00C36CCB"/>
    <w:rsid w:val="00C435CE"/>
    <w:rsid w:val="00C44601"/>
    <w:rsid w:val="00C55462"/>
    <w:rsid w:val="00C614D5"/>
    <w:rsid w:val="00C64715"/>
    <w:rsid w:val="00C6496B"/>
    <w:rsid w:val="00C65A24"/>
    <w:rsid w:val="00C7117D"/>
    <w:rsid w:val="00C725AA"/>
    <w:rsid w:val="00C7323D"/>
    <w:rsid w:val="00C73B77"/>
    <w:rsid w:val="00C747A9"/>
    <w:rsid w:val="00C76FA7"/>
    <w:rsid w:val="00C773DF"/>
    <w:rsid w:val="00C806C4"/>
    <w:rsid w:val="00C82F35"/>
    <w:rsid w:val="00C85B8A"/>
    <w:rsid w:val="00C90CE9"/>
    <w:rsid w:val="00C91823"/>
    <w:rsid w:val="00C93F25"/>
    <w:rsid w:val="00C9448B"/>
    <w:rsid w:val="00C961A1"/>
    <w:rsid w:val="00CA0891"/>
    <w:rsid w:val="00CA53A3"/>
    <w:rsid w:val="00CA630C"/>
    <w:rsid w:val="00CA6D61"/>
    <w:rsid w:val="00CB157E"/>
    <w:rsid w:val="00CB23EC"/>
    <w:rsid w:val="00CB51DE"/>
    <w:rsid w:val="00CB61FD"/>
    <w:rsid w:val="00CB6D3D"/>
    <w:rsid w:val="00CB7A13"/>
    <w:rsid w:val="00CC243B"/>
    <w:rsid w:val="00CC3BEB"/>
    <w:rsid w:val="00CD05D9"/>
    <w:rsid w:val="00CD1076"/>
    <w:rsid w:val="00CD1767"/>
    <w:rsid w:val="00CD1D98"/>
    <w:rsid w:val="00CD3307"/>
    <w:rsid w:val="00CD7BD8"/>
    <w:rsid w:val="00CE3265"/>
    <w:rsid w:val="00CE42BC"/>
    <w:rsid w:val="00CE49E2"/>
    <w:rsid w:val="00CE4B2F"/>
    <w:rsid w:val="00CE4B43"/>
    <w:rsid w:val="00CE6D16"/>
    <w:rsid w:val="00CF2679"/>
    <w:rsid w:val="00CF338B"/>
    <w:rsid w:val="00CF7D51"/>
    <w:rsid w:val="00D008AB"/>
    <w:rsid w:val="00D03EEE"/>
    <w:rsid w:val="00D042F1"/>
    <w:rsid w:val="00D04355"/>
    <w:rsid w:val="00D048A9"/>
    <w:rsid w:val="00D06E4F"/>
    <w:rsid w:val="00D110FF"/>
    <w:rsid w:val="00D11130"/>
    <w:rsid w:val="00D12457"/>
    <w:rsid w:val="00D1288F"/>
    <w:rsid w:val="00D132BB"/>
    <w:rsid w:val="00D134CC"/>
    <w:rsid w:val="00D14C73"/>
    <w:rsid w:val="00D15C5A"/>
    <w:rsid w:val="00D207A8"/>
    <w:rsid w:val="00D21056"/>
    <w:rsid w:val="00D218A6"/>
    <w:rsid w:val="00D21A25"/>
    <w:rsid w:val="00D30CA1"/>
    <w:rsid w:val="00D31C87"/>
    <w:rsid w:val="00D32416"/>
    <w:rsid w:val="00D32618"/>
    <w:rsid w:val="00D329BA"/>
    <w:rsid w:val="00D355A0"/>
    <w:rsid w:val="00D36447"/>
    <w:rsid w:val="00D37120"/>
    <w:rsid w:val="00D37139"/>
    <w:rsid w:val="00D3734B"/>
    <w:rsid w:val="00D42B96"/>
    <w:rsid w:val="00D436A7"/>
    <w:rsid w:val="00D43FF3"/>
    <w:rsid w:val="00D44F6B"/>
    <w:rsid w:val="00D457B1"/>
    <w:rsid w:val="00D463EF"/>
    <w:rsid w:val="00D517A5"/>
    <w:rsid w:val="00D534E6"/>
    <w:rsid w:val="00D53DC2"/>
    <w:rsid w:val="00D57DA7"/>
    <w:rsid w:val="00D611C6"/>
    <w:rsid w:val="00D62E95"/>
    <w:rsid w:val="00D63490"/>
    <w:rsid w:val="00D66C1A"/>
    <w:rsid w:val="00D70313"/>
    <w:rsid w:val="00D71210"/>
    <w:rsid w:val="00D777FF"/>
    <w:rsid w:val="00D817E1"/>
    <w:rsid w:val="00D91AAA"/>
    <w:rsid w:val="00D93778"/>
    <w:rsid w:val="00DA4740"/>
    <w:rsid w:val="00DA64DD"/>
    <w:rsid w:val="00DB0FDF"/>
    <w:rsid w:val="00DB5862"/>
    <w:rsid w:val="00DB6F18"/>
    <w:rsid w:val="00DB7C8E"/>
    <w:rsid w:val="00DC2D37"/>
    <w:rsid w:val="00DC302E"/>
    <w:rsid w:val="00DC3BBA"/>
    <w:rsid w:val="00DC4B40"/>
    <w:rsid w:val="00DC59DE"/>
    <w:rsid w:val="00DD49F7"/>
    <w:rsid w:val="00DD702D"/>
    <w:rsid w:val="00DE224E"/>
    <w:rsid w:val="00DE28B3"/>
    <w:rsid w:val="00DE382F"/>
    <w:rsid w:val="00DE4C1D"/>
    <w:rsid w:val="00DE5CAE"/>
    <w:rsid w:val="00DE63D9"/>
    <w:rsid w:val="00DE6B3B"/>
    <w:rsid w:val="00DF039A"/>
    <w:rsid w:val="00DF0D86"/>
    <w:rsid w:val="00DF15A5"/>
    <w:rsid w:val="00DF4612"/>
    <w:rsid w:val="00DF4CE4"/>
    <w:rsid w:val="00DF521B"/>
    <w:rsid w:val="00DF6487"/>
    <w:rsid w:val="00DF6995"/>
    <w:rsid w:val="00DF7BC5"/>
    <w:rsid w:val="00E039FE"/>
    <w:rsid w:val="00E10098"/>
    <w:rsid w:val="00E10EEF"/>
    <w:rsid w:val="00E14D7A"/>
    <w:rsid w:val="00E1542D"/>
    <w:rsid w:val="00E15482"/>
    <w:rsid w:val="00E16B92"/>
    <w:rsid w:val="00E21B80"/>
    <w:rsid w:val="00E2491F"/>
    <w:rsid w:val="00E24F4C"/>
    <w:rsid w:val="00E30AB7"/>
    <w:rsid w:val="00E32903"/>
    <w:rsid w:val="00E35430"/>
    <w:rsid w:val="00E372E4"/>
    <w:rsid w:val="00E376F1"/>
    <w:rsid w:val="00E4003F"/>
    <w:rsid w:val="00E42368"/>
    <w:rsid w:val="00E426E3"/>
    <w:rsid w:val="00E44738"/>
    <w:rsid w:val="00E45539"/>
    <w:rsid w:val="00E47842"/>
    <w:rsid w:val="00E50EE0"/>
    <w:rsid w:val="00E51BEF"/>
    <w:rsid w:val="00E52DC4"/>
    <w:rsid w:val="00E53856"/>
    <w:rsid w:val="00E60413"/>
    <w:rsid w:val="00E6112E"/>
    <w:rsid w:val="00E625B9"/>
    <w:rsid w:val="00E6744C"/>
    <w:rsid w:val="00E67CE2"/>
    <w:rsid w:val="00E709A5"/>
    <w:rsid w:val="00E73F44"/>
    <w:rsid w:val="00E7566B"/>
    <w:rsid w:val="00E7760C"/>
    <w:rsid w:val="00E8198B"/>
    <w:rsid w:val="00E81E95"/>
    <w:rsid w:val="00E82802"/>
    <w:rsid w:val="00E83337"/>
    <w:rsid w:val="00E859F8"/>
    <w:rsid w:val="00E872BF"/>
    <w:rsid w:val="00E9100E"/>
    <w:rsid w:val="00E92763"/>
    <w:rsid w:val="00EA0053"/>
    <w:rsid w:val="00EA2F17"/>
    <w:rsid w:val="00EA5714"/>
    <w:rsid w:val="00EA6976"/>
    <w:rsid w:val="00EA76A4"/>
    <w:rsid w:val="00EA78E9"/>
    <w:rsid w:val="00EB5BE4"/>
    <w:rsid w:val="00EB696B"/>
    <w:rsid w:val="00EB77C8"/>
    <w:rsid w:val="00EB7D15"/>
    <w:rsid w:val="00EC03A2"/>
    <w:rsid w:val="00EC3B41"/>
    <w:rsid w:val="00EC436A"/>
    <w:rsid w:val="00EC5EEF"/>
    <w:rsid w:val="00EC7A61"/>
    <w:rsid w:val="00ED0F95"/>
    <w:rsid w:val="00ED1726"/>
    <w:rsid w:val="00ED1EA1"/>
    <w:rsid w:val="00ED207F"/>
    <w:rsid w:val="00ED23E9"/>
    <w:rsid w:val="00ED2D63"/>
    <w:rsid w:val="00ED6E38"/>
    <w:rsid w:val="00ED7173"/>
    <w:rsid w:val="00EE0E3E"/>
    <w:rsid w:val="00EE2A51"/>
    <w:rsid w:val="00EE2EEE"/>
    <w:rsid w:val="00EE6F8D"/>
    <w:rsid w:val="00EF0D3F"/>
    <w:rsid w:val="00EF2243"/>
    <w:rsid w:val="00EF31ED"/>
    <w:rsid w:val="00EF3956"/>
    <w:rsid w:val="00EF4735"/>
    <w:rsid w:val="00EF4CD3"/>
    <w:rsid w:val="00EF4F7C"/>
    <w:rsid w:val="00F04CF4"/>
    <w:rsid w:val="00F10F1C"/>
    <w:rsid w:val="00F114A4"/>
    <w:rsid w:val="00F12178"/>
    <w:rsid w:val="00F126B9"/>
    <w:rsid w:val="00F1288C"/>
    <w:rsid w:val="00F131AD"/>
    <w:rsid w:val="00F147E0"/>
    <w:rsid w:val="00F17CC8"/>
    <w:rsid w:val="00F20C3B"/>
    <w:rsid w:val="00F21E34"/>
    <w:rsid w:val="00F229AB"/>
    <w:rsid w:val="00F23607"/>
    <w:rsid w:val="00F23FC6"/>
    <w:rsid w:val="00F300AC"/>
    <w:rsid w:val="00F31183"/>
    <w:rsid w:val="00F31A68"/>
    <w:rsid w:val="00F33C22"/>
    <w:rsid w:val="00F34755"/>
    <w:rsid w:val="00F3601E"/>
    <w:rsid w:val="00F411C8"/>
    <w:rsid w:val="00F42D8C"/>
    <w:rsid w:val="00F43153"/>
    <w:rsid w:val="00F474E3"/>
    <w:rsid w:val="00F50FA6"/>
    <w:rsid w:val="00F5415A"/>
    <w:rsid w:val="00F549CE"/>
    <w:rsid w:val="00F5573C"/>
    <w:rsid w:val="00F563D6"/>
    <w:rsid w:val="00F56804"/>
    <w:rsid w:val="00F57B67"/>
    <w:rsid w:val="00F57CE0"/>
    <w:rsid w:val="00F615DC"/>
    <w:rsid w:val="00F616A1"/>
    <w:rsid w:val="00F62A3F"/>
    <w:rsid w:val="00F63159"/>
    <w:rsid w:val="00F638FD"/>
    <w:rsid w:val="00F64BD4"/>
    <w:rsid w:val="00F71C8B"/>
    <w:rsid w:val="00F7276C"/>
    <w:rsid w:val="00F74BF6"/>
    <w:rsid w:val="00F8612B"/>
    <w:rsid w:val="00F861A6"/>
    <w:rsid w:val="00F86859"/>
    <w:rsid w:val="00F934B4"/>
    <w:rsid w:val="00F94EBB"/>
    <w:rsid w:val="00F9554C"/>
    <w:rsid w:val="00F96EA3"/>
    <w:rsid w:val="00FA2457"/>
    <w:rsid w:val="00FA2D1C"/>
    <w:rsid w:val="00FA4BC1"/>
    <w:rsid w:val="00FA7357"/>
    <w:rsid w:val="00FB06EA"/>
    <w:rsid w:val="00FB12CC"/>
    <w:rsid w:val="00FB2294"/>
    <w:rsid w:val="00FB27A6"/>
    <w:rsid w:val="00FB2D5C"/>
    <w:rsid w:val="00FB2F26"/>
    <w:rsid w:val="00FB40C8"/>
    <w:rsid w:val="00FB65C2"/>
    <w:rsid w:val="00FC00BB"/>
    <w:rsid w:val="00FC0EFB"/>
    <w:rsid w:val="00FC1578"/>
    <w:rsid w:val="00FC16C7"/>
    <w:rsid w:val="00FC4E60"/>
    <w:rsid w:val="00FC6559"/>
    <w:rsid w:val="00FD09CE"/>
    <w:rsid w:val="00FD6267"/>
    <w:rsid w:val="00FD7649"/>
    <w:rsid w:val="00FD78AF"/>
    <w:rsid w:val="00FE45AD"/>
    <w:rsid w:val="00FE5DEF"/>
    <w:rsid w:val="00FE68E8"/>
    <w:rsid w:val="00FE704C"/>
    <w:rsid w:val="00FF043A"/>
    <w:rsid w:val="00FF0953"/>
    <w:rsid w:val="00FF460C"/>
    <w:rsid w:val="00FF667B"/>
    <w:rsid w:val="027DE501"/>
    <w:rsid w:val="02AA9E72"/>
    <w:rsid w:val="06E63119"/>
    <w:rsid w:val="0880C3BC"/>
    <w:rsid w:val="08937CDC"/>
    <w:rsid w:val="0960F5F4"/>
    <w:rsid w:val="0A497D62"/>
    <w:rsid w:val="0C0E192D"/>
    <w:rsid w:val="0CAC89A3"/>
    <w:rsid w:val="0EFBF5DF"/>
    <w:rsid w:val="0F22B0FC"/>
    <w:rsid w:val="147D4E85"/>
    <w:rsid w:val="148CFAC4"/>
    <w:rsid w:val="16A4C3D7"/>
    <w:rsid w:val="183FA673"/>
    <w:rsid w:val="18CC55C9"/>
    <w:rsid w:val="1FFC7E3C"/>
    <w:rsid w:val="209BC9A3"/>
    <w:rsid w:val="2202D302"/>
    <w:rsid w:val="233F4C72"/>
    <w:rsid w:val="24A04C70"/>
    <w:rsid w:val="2588F56D"/>
    <w:rsid w:val="26A5B9D3"/>
    <w:rsid w:val="2A06544C"/>
    <w:rsid w:val="307E6426"/>
    <w:rsid w:val="3D718214"/>
    <w:rsid w:val="452ABCED"/>
    <w:rsid w:val="4755724B"/>
    <w:rsid w:val="47CB379D"/>
    <w:rsid w:val="48883EE4"/>
    <w:rsid w:val="48B7F7E9"/>
    <w:rsid w:val="49392AC0"/>
    <w:rsid w:val="51DA77C4"/>
    <w:rsid w:val="538BE7E5"/>
    <w:rsid w:val="56236EC8"/>
    <w:rsid w:val="58806EFF"/>
    <w:rsid w:val="60C77875"/>
    <w:rsid w:val="62574EB7"/>
    <w:rsid w:val="68237A00"/>
    <w:rsid w:val="6BAA9810"/>
    <w:rsid w:val="6BC641BE"/>
    <w:rsid w:val="6F6A5BD8"/>
    <w:rsid w:val="70C8EA3D"/>
    <w:rsid w:val="71410F71"/>
    <w:rsid w:val="746A1C60"/>
    <w:rsid w:val="7534A28F"/>
    <w:rsid w:val="7627128C"/>
    <w:rsid w:val="76D243F0"/>
    <w:rsid w:val="77C2E2ED"/>
    <w:rsid w:val="7879CA1A"/>
    <w:rsid w:val="7B792C12"/>
    <w:rsid w:val="7BAEBD2E"/>
    <w:rsid w:val="7CE991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E154D"/>
  <w15:chartTrackingRefBased/>
  <w15:docId w15:val="{7F14D017-6CD8-4EC4-9D9D-94B88F667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91"/>
    <w:pPr>
      <w:spacing w:before="100" w:beforeAutospacing="1" w:after="100" w:afterAutospacing="1" w:line="360" w:lineRule="auto"/>
    </w:pPr>
    <w:rPr>
      <w:rFonts w:ascii="Arial" w:hAnsi="Arial" w:cs="Times New Roman"/>
      <w:sz w:val="24"/>
      <w:szCs w:val="20"/>
    </w:rPr>
  </w:style>
  <w:style w:type="paragraph" w:styleId="Heading1">
    <w:name w:val="heading 1"/>
    <w:basedOn w:val="Normal"/>
    <w:next w:val="Normal"/>
    <w:link w:val="Heading1Char"/>
    <w:qFormat/>
    <w:rsid w:val="005F3B2F"/>
    <w:pPr>
      <w:spacing w:before="0" w:beforeAutospacing="0" w:after="360" w:afterAutospacing="0"/>
      <w:outlineLvl w:val="0"/>
    </w:pPr>
    <w:rPr>
      <w:color w:val="1F4E79" w:themeColor="accent1" w:themeShade="80"/>
      <w:kern w:val="24"/>
      <w:sz w:val="32"/>
    </w:rPr>
  </w:style>
  <w:style w:type="paragraph" w:styleId="Heading2">
    <w:name w:val="heading 2"/>
    <w:basedOn w:val="Normal"/>
    <w:next w:val="Normal"/>
    <w:link w:val="Heading2Char"/>
    <w:qFormat/>
    <w:rsid w:val="005F3B2F"/>
    <w:pPr>
      <w:outlineLvl w:val="1"/>
    </w:pPr>
    <w:rPr>
      <w:color w:val="1F4E79" w:themeColor="accent1" w:themeShade="80"/>
      <w:kern w:val="24"/>
      <w:sz w:val="28"/>
    </w:rPr>
  </w:style>
  <w:style w:type="paragraph" w:styleId="Heading3">
    <w:name w:val="heading 3"/>
    <w:basedOn w:val="Normal"/>
    <w:next w:val="Normal"/>
    <w:link w:val="Heading3Char"/>
    <w:uiPriority w:val="9"/>
    <w:qFormat/>
    <w:rsid w:val="005F3B2F"/>
    <w:pPr>
      <w:outlineLvl w:val="2"/>
    </w:pPr>
    <w:rPr>
      <w:color w:val="1F4E79" w:themeColor="accent1" w:themeShade="80"/>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2"/>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basedOn w:val="DefaultParagraphFont"/>
    <w:link w:val="Heading1"/>
    <w:rsid w:val="005F3B2F"/>
    <w:rPr>
      <w:rFonts w:ascii="Arial" w:hAnsi="Arial" w:cs="Times New Roman"/>
      <w:color w:val="1F4E79" w:themeColor="accent1" w:themeShade="80"/>
      <w:kern w:val="24"/>
      <w:sz w:val="32"/>
      <w:szCs w:val="20"/>
    </w:rPr>
  </w:style>
  <w:style w:type="character" w:customStyle="1" w:styleId="Heading2Char">
    <w:name w:val="Heading 2 Char"/>
    <w:basedOn w:val="DefaultParagraphFont"/>
    <w:link w:val="Heading2"/>
    <w:rsid w:val="005F3B2F"/>
    <w:rPr>
      <w:rFonts w:ascii="Arial" w:hAnsi="Arial" w:cs="Times New Roman"/>
      <w:color w:val="1F4E79" w:themeColor="accent1" w:themeShade="80"/>
      <w:kern w:val="24"/>
      <w:sz w:val="28"/>
      <w:szCs w:val="20"/>
    </w:rPr>
  </w:style>
  <w:style w:type="character" w:customStyle="1" w:styleId="Heading3Char">
    <w:name w:val="Heading 3 Char"/>
    <w:basedOn w:val="DefaultParagraphFont"/>
    <w:link w:val="Heading3"/>
    <w:uiPriority w:val="9"/>
    <w:rsid w:val="005F3B2F"/>
    <w:rPr>
      <w:rFonts w:ascii="Arial" w:hAnsi="Arial" w:cs="Times New Roman"/>
      <w:color w:val="1F4E79" w:themeColor="accent1" w:themeShade="80"/>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7"/>
    <w:qFormat/>
    <w:rsid w:val="006D1CBB"/>
    <w:pPr>
      <w:ind w:left="720"/>
      <w:contextualSpacing/>
    </w:pPr>
  </w:style>
  <w:style w:type="table" w:styleId="TableGrid">
    <w:name w:val="Table Grid"/>
    <w:basedOn w:val="TableNormal"/>
    <w:uiPriority w:val="39"/>
    <w:rsid w:val="003F190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93799"/>
    <w:rPr>
      <w:color w:val="0000FF"/>
      <w:u w:val="single"/>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0D7B20"/>
    <w:rPr>
      <w:rFonts w:ascii="Arial" w:hAnsi="Arial" w:cs="Times New Roman"/>
      <w:sz w:val="24"/>
      <w:szCs w:val="20"/>
    </w:rPr>
  </w:style>
  <w:style w:type="table" w:customStyle="1" w:styleId="TableGrid1">
    <w:name w:val="Table Grid1"/>
    <w:basedOn w:val="TableNormal"/>
    <w:next w:val="TableGrid"/>
    <w:uiPriority w:val="39"/>
    <w:rsid w:val="00AB2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16D8"/>
    <w:rPr>
      <w:sz w:val="16"/>
      <w:szCs w:val="16"/>
    </w:rPr>
  </w:style>
  <w:style w:type="paragraph" w:styleId="CommentText">
    <w:name w:val="annotation text"/>
    <w:basedOn w:val="Normal"/>
    <w:link w:val="CommentTextChar"/>
    <w:uiPriority w:val="99"/>
    <w:unhideWhenUsed/>
    <w:rsid w:val="000016D8"/>
    <w:rPr>
      <w:sz w:val="20"/>
    </w:rPr>
  </w:style>
  <w:style w:type="character" w:customStyle="1" w:styleId="CommentTextChar">
    <w:name w:val="Comment Text Char"/>
    <w:basedOn w:val="DefaultParagraphFont"/>
    <w:link w:val="CommentText"/>
    <w:uiPriority w:val="99"/>
    <w:rsid w:val="000016D8"/>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0016D8"/>
    <w:rPr>
      <w:b/>
      <w:bCs/>
    </w:rPr>
  </w:style>
  <w:style w:type="character" w:customStyle="1" w:styleId="CommentSubjectChar">
    <w:name w:val="Comment Subject Char"/>
    <w:basedOn w:val="CommentTextChar"/>
    <w:link w:val="CommentSubject"/>
    <w:uiPriority w:val="99"/>
    <w:semiHidden/>
    <w:rsid w:val="000016D8"/>
    <w:rPr>
      <w:rFonts w:ascii="Arial" w:hAnsi="Arial" w:cs="Times New Roman"/>
      <w:b/>
      <w:bCs/>
      <w:sz w:val="20"/>
      <w:szCs w:val="20"/>
    </w:rPr>
  </w:style>
  <w:style w:type="paragraph" w:styleId="BalloonText">
    <w:name w:val="Balloon Text"/>
    <w:basedOn w:val="Normal"/>
    <w:link w:val="BalloonTextChar"/>
    <w:uiPriority w:val="99"/>
    <w:semiHidden/>
    <w:unhideWhenUsed/>
    <w:rsid w:val="000016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6D8"/>
    <w:rPr>
      <w:rFonts w:ascii="Segoe UI" w:hAnsi="Segoe UI" w:cs="Segoe UI"/>
      <w:sz w:val="18"/>
      <w:szCs w:val="18"/>
    </w:rPr>
  </w:style>
  <w:style w:type="paragraph" w:styleId="Revision">
    <w:name w:val="Revision"/>
    <w:hidden/>
    <w:uiPriority w:val="99"/>
    <w:semiHidden/>
    <w:rsid w:val="004A50D2"/>
    <w:rPr>
      <w:rFonts w:ascii="Arial" w:hAnsi="Arial" w:cs="Times New Roman"/>
      <w:sz w:val="24"/>
      <w:szCs w:val="20"/>
    </w:rPr>
  </w:style>
  <w:style w:type="character" w:styleId="FootnoteReference">
    <w:name w:val="footnote reference"/>
    <w:basedOn w:val="DefaultParagraphFont"/>
    <w:uiPriority w:val="99"/>
    <w:semiHidden/>
    <w:unhideWhenUsed/>
    <w:rsid w:val="005F2797"/>
    <w:rPr>
      <w:vertAlign w:val="superscript"/>
    </w:rPr>
  </w:style>
  <w:style w:type="character" w:customStyle="1" w:styleId="FootnoteTextChar">
    <w:name w:val="Footnote Text Char"/>
    <w:basedOn w:val="DefaultParagraphFont"/>
    <w:link w:val="FootnoteText"/>
    <w:uiPriority w:val="99"/>
    <w:semiHidden/>
    <w:rsid w:val="005F2797"/>
    <w:rPr>
      <w:sz w:val="20"/>
      <w:szCs w:val="20"/>
    </w:rPr>
  </w:style>
  <w:style w:type="paragraph" w:styleId="FootnoteText">
    <w:name w:val="footnote text"/>
    <w:basedOn w:val="Normal"/>
    <w:link w:val="FootnoteTextChar"/>
    <w:uiPriority w:val="99"/>
    <w:semiHidden/>
    <w:unhideWhenUsed/>
    <w:rsid w:val="005F2797"/>
    <w:rPr>
      <w:rFonts w:asciiTheme="minorHAnsi" w:hAnsiTheme="minorHAnsi" w:cstheme="minorBidi"/>
      <w:sz w:val="20"/>
    </w:rPr>
  </w:style>
  <w:style w:type="character" w:customStyle="1" w:styleId="FootnoteTextChar1">
    <w:name w:val="Footnote Text Char1"/>
    <w:basedOn w:val="DefaultParagraphFont"/>
    <w:uiPriority w:val="99"/>
    <w:semiHidden/>
    <w:rsid w:val="005F2797"/>
    <w:rPr>
      <w:rFonts w:ascii="Arial" w:hAnsi="Arial" w:cs="Times New Roman"/>
      <w:sz w:val="20"/>
      <w:szCs w:val="20"/>
    </w:rPr>
  </w:style>
  <w:style w:type="paragraph" w:styleId="TOC2">
    <w:name w:val="toc 2"/>
    <w:basedOn w:val="Normal"/>
    <w:next w:val="Normal"/>
    <w:autoRedefine/>
    <w:uiPriority w:val="39"/>
    <w:unhideWhenUsed/>
    <w:rsid w:val="00DF7BC5"/>
    <w:pPr>
      <w:tabs>
        <w:tab w:val="right" w:leader="dot" w:pos="9016"/>
      </w:tabs>
      <w:ind w:left="240"/>
    </w:pPr>
  </w:style>
  <w:style w:type="paragraph" w:styleId="TOC1">
    <w:name w:val="toc 1"/>
    <w:basedOn w:val="Normal"/>
    <w:next w:val="Normal"/>
    <w:autoRedefine/>
    <w:uiPriority w:val="39"/>
    <w:unhideWhenUsed/>
    <w:rsid w:val="000C6DC8"/>
  </w:style>
  <w:style w:type="paragraph" w:styleId="TOC3">
    <w:name w:val="toc 3"/>
    <w:basedOn w:val="Normal"/>
    <w:next w:val="Normal"/>
    <w:autoRedefine/>
    <w:uiPriority w:val="39"/>
    <w:unhideWhenUsed/>
    <w:rsid w:val="000C6DC8"/>
    <w:pPr>
      <w:ind w:left="480"/>
    </w:pPr>
  </w:style>
  <w:style w:type="paragraph" w:styleId="TOCHeading">
    <w:name w:val="TOC Heading"/>
    <w:basedOn w:val="Heading1"/>
    <w:next w:val="Normal"/>
    <w:uiPriority w:val="39"/>
    <w:unhideWhenUsed/>
    <w:qFormat/>
    <w:rsid w:val="000C6DC8"/>
    <w:pPr>
      <w:keepNext/>
      <w:keepLines/>
      <w:spacing w:before="240" w:line="259" w:lineRule="auto"/>
      <w:outlineLvl w:val="9"/>
    </w:pPr>
    <w:rPr>
      <w:rFonts w:asciiTheme="majorHAnsi" w:eastAsiaTheme="majorEastAsia" w:hAnsiTheme="majorHAnsi" w:cstheme="majorBidi"/>
      <w:b/>
      <w:color w:val="2E74B5" w:themeColor="accent1" w:themeShade="BF"/>
      <w:kern w:val="0"/>
      <w:szCs w:val="32"/>
      <w:lang w:val="en-US"/>
    </w:rPr>
  </w:style>
  <w:style w:type="paragraph" w:styleId="Title">
    <w:name w:val="Title"/>
    <w:basedOn w:val="Normal"/>
    <w:next w:val="Normal"/>
    <w:link w:val="TitleChar"/>
    <w:uiPriority w:val="10"/>
    <w:qFormat/>
    <w:rsid w:val="00855CD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CDD"/>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F12178"/>
    <w:rPr>
      <w:color w:val="954F72" w:themeColor="followedHyperlink"/>
      <w:u w:val="single"/>
    </w:rPr>
  </w:style>
  <w:style w:type="paragraph" w:customStyle="1" w:styleId="Normalnumbered">
    <w:name w:val="Normal (numbered)"/>
    <w:basedOn w:val="Normal"/>
    <w:autoRedefine/>
    <w:qFormat/>
    <w:rsid w:val="00F63159"/>
    <w:pPr>
      <w:numPr>
        <w:numId w:val="20"/>
      </w:numPr>
      <w:spacing w:before="0" w:beforeAutospacing="0" w:after="360" w:afterAutospacing="0"/>
      <w:ind w:left="0" w:firstLine="0"/>
    </w:pPr>
    <w:rPr>
      <w:rFonts w:eastAsiaTheme="minorHAnsi" w:cstheme="minorBidi"/>
      <w:szCs w:val="24"/>
    </w:rPr>
  </w:style>
  <w:style w:type="paragraph" w:customStyle="1" w:styleId="Bulletpoints">
    <w:name w:val="Bullet points"/>
    <w:basedOn w:val="Normal"/>
    <w:next w:val="Normal"/>
    <w:autoRedefine/>
    <w:uiPriority w:val="6"/>
    <w:qFormat/>
    <w:rsid w:val="00D70313"/>
    <w:pPr>
      <w:numPr>
        <w:numId w:val="10"/>
      </w:numPr>
      <w:tabs>
        <w:tab w:val="left" w:pos="1080"/>
        <w:tab w:val="left" w:pos="1800"/>
        <w:tab w:val="left" w:pos="3240"/>
      </w:tabs>
      <w:spacing w:before="0" w:beforeAutospacing="0" w:after="120" w:afterAutospacing="0"/>
      <w:ind w:left="714" w:hanging="357"/>
    </w:pPr>
    <w:rPr>
      <w:rFonts w:eastAsiaTheme="minorHAnsi" w:cstheme="minorBidi"/>
      <w:szCs w:val="22"/>
    </w:rPr>
  </w:style>
  <w:style w:type="paragraph" w:customStyle="1" w:styleId="bulletsafter18">
    <w:name w:val="bullets after 18"/>
    <w:basedOn w:val="Bulletpoints"/>
    <w:qFormat/>
    <w:rsid w:val="00D43FF3"/>
    <w:pPr>
      <w:numPr>
        <w:numId w:val="11"/>
      </w:numPr>
      <w:spacing w:after="360"/>
      <w:ind w:left="714" w:hanging="357"/>
    </w:pPr>
  </w:style>
  <w:style w:type="character" w:styleId="UnresolvedMention">
    <w:name w:val="Unresolved Mention"/>
    <w:basedOn w:val="DefaultParagraphFont"/>
    <w:uiPriority w:val="99"/>
    <w:semiHidden/>
    <w:unhideWhenUsed/>
    <w:rsid w:val="003A7D18"/>
    <w:rPr>
      <w:color w:val="605E5C"/>
      <w:shd w:val="clear" w:color="auto" w:fill="E1DFDD"/>
    </w:rPr>
  </w:style>
  <w:style w:type="paragraph" w:customStyle="1" w:styleId="BillADPara">
    <w:name w:val="BillADPara"/>
    <w:basedOn w:val="Normal"/>
    <w:link w:val="BillADParaChar"/>
    <w:autoRedefine/>
    <w:uiPriority w:val="7"/>
    <w:rsid w:val="00885FED"/>
    <w:pPr>
      <w:tabs>
        <w:tab w:val="left" w:pos="709"/>
        <w:tab w:val="left" w:pos="1418"/>
        <w:tab w:val="left" w:pos="2126"/>
        <w:tab w:val="left" w:pos="2835"/>
        <w:tab w:val="left" w:pos="3544"/>
        <w:tab w:val="left" w:pos="4253"/>
        <w:tab w:val="left" w:pos="4961"/>
        <w:tab w:val="left" w:pos="5670"/>
      </w:tabs>
      <w:spacing w:before="0" w:beforeAutospacing="0" w:after="360" w:afterAutospacing="0" w:line="240" w:lineRule="auto"/>
      <w:jc w:val="both"/>
    </w:pPr>
    <w:rPr>
      <w:rFonts w:cs="Arial"/>
      <w:szCs w:val="24"/>
      <w:lang w:eastAsia="en-GB"/>
    </w:rPr>
  </w:style>
  <w:style w:type="character" w:customStyle="1" w:styleId="BillADParaChar">
    <w:name w:val="BillADPara Char"/>
    <w:basedOn w:val="DefaultParagraphFont"/>
    <w:link w:val="BillADPara"/>
    <w:uiPriority w:val="7"/>
    <w:rsid w:val="00885FED"/>
    <w:rPr>
      <w:rFonts w:ascii="Arial" w:hAnsi="Arial" w:cs="Arial"/>
      <w:sz w:val="24"/>
      <w:szCs w:val="24"/>
      <w:lang w:eastAsia="en-GB"/>
    </w:rPr>
  </w:style>
  <w:style w:type="paragraph" w:customStyle="1" w:styleId="bulletpointsafter12">
    <w:name w:val="bullet points after 12"/>
    <w:basedOn w:val="bulletsafter18"/>
    <w:qFormat/>
    <w:rsid w:val="005F3B2F"/>
    <w:pPr>
      <w:spacing w:after="240"/>
    </w:pPr>
  </w:style>
  <w:style w:type="character" w:customStyle="1" w:styleId="cf01">
    <w:name w:val="cf01"/>
    <w:basedOn w:val="DefaultParagraphFont"/>
    <w:rsid w:val="00016CE9"/>
    <w:rPr>
      <w:rFonts w:ascii="Segoe UI" w:hAnsi="Segoe UI" w:cs="Segoe UI" w:hint="default"/>
      <w:sz w:val="18"/>
      <w:szCs w:val="18"/>
    </w:rPr>
  </w:style>
  <w:style w:type="paragraph" w:customStyle="1" w:styleId="pf0">
    <w:name w:val="pf0"/>
    <w:basedOn w:val="Normal"/>
    <w:rsid w:val="008F4228"/>
    <w:pPr>
      <w:spacing w:line="240" w:lineRule="auto"/>
    </w:pPr>
    <w:rPr>
      <w:rFonts w:ascii="Times New Roman" w:hAnsi="Times New Roman"/>
      <w:szCs w:val="24"/>
      <w:lang w:eastAsia="en-GB"/>
    </w:rPr>
  </w:style>
  <w:style w:type="character" w:customStyle="1" w:styleId="normaltextrun">
    <w:name w:val="normaltextrun"/>
    <w:basedOn w:val="DefaultParagraphFont"/>
    <w:rsid w:val="00F8612B"/>
  </w:style>
  <w:style w:type="character" w:customStyle="1" w:styleId="eop">
    <w:name w:val="eop"/>
    <w:basedOn w:val="DefaultParagraphFont"/>
    <w:rsid w:val="00F8612B"/>
  </w:style>
  <w:style w:type="paragraph" w:customStyle="1" w:styleId="Bulletslevel2">
    <w:name w:val="Bullets level 2"/>
    <w:basedOn w:val="Bulletpoints"/>
    <w:qFormat/>
    <w:rsid w:val="00DF7BC5"/>
    <w:pPr>
      <w:numPr>
        <w:numId w:val="21"/>
      </w:numPr>
      <w:ind w:left="1491" w:hanging="357"/>
    </w:pPr>
    <w:rPr>
      <w:bCs/>
    </w:rPr>
  </w:style>
  <w:style w:type="paragraph" w:customStyle="1" w:styleId="bulletslevel2after18">
    <w:name w:val="bullets level 2 after 18"/>
    <w:basedOn w:val="Bulletslevel2"/>
    <w:qFormat/>
    <w:rsid w:val="00DF7BC5"/>
    <w:pPr>
      <w:numPr>
        <w:numId w:val="22"/>
      </w:numPr>
      <w:spacing w:after="360"/>
      <w:ind w:left="1491"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7737">
      <w:bodyDiv w:val="1"/>
      <w:marLeft w:val="0"/>
      <w:marRight w:val="0"/>
      <w:marTop w:val="0"/>
      <w:marBottom w:val="0"/>
      <w:divBdr>
        <w:top w:val="none" w:sz="0" w:space="0" w:color="auto"/>
        <w:left w:val="none" w:sz="0" w:space="0" w:color="auto"/>
        <w:bottom w:val="none" w:sz="0" w:space="0" w:color="auto"/>
        <w:right w:val="none" w:sz="0" w:space="0" w:color="auto"/>
      </w:divBdr>
    </w:div>
    <w:div w:id="348336642">
      <w:bodyDiv w:val="1"/>
      <w:marLeft w:val="0"/>
      <w:marRight w:val="0"/>
      <w:marTop w:val="0"/>
      <w:marBottom w:val="0"/>
      <w:divBdr>
        <w:top w:val="none" w:sz="0" w:space="0" w:color="auto"/>
        <w:left w:val="none" w:sz="0" w:space="0" w:color="auto"/>
        <w:bottom w:val="none" w:sz="0" w:space="0" w:color="auto"/>
        <w:right w:val="none" w:sz="0" w:space="0" w:color="auto"/>
      </w:divBdr>
    </w:div>
    <w:div w:id="721175194">
      <w:bodyDiv w:val="1"/>
      <w:marLeft w:val="0"/>
      <w:marRight w:val="0"/>
      <w:marTop w:val="0"/>
      <w:marBottom w:val="0"/>
      <w:divBdr>
        <w:top w:val="none" w:sz="0" w:space="0" w:color="auto"/>
        <w:left w:val="none" w:sz="0" w:space="0" w:color="auto"/>
        <w:bottom w:val="none" w:sz="0" w:space="0" w:color="auto"/>
        <w:right w:val="none" w:sz="0" w:space="0" w:color="auto"/>
      </w:divBdr>
    </w:div>
    <w:div w:id="905146696">
      <w:bodyDiv w:val="1"/>
      <w:marLeft w:val="0"/>
      <w:marRight w:val="0"/>
      <w:marTop w:val="0"/>
      <w:marBottom w:val="0"/>
      <w:divBdr>
        <w:top w:val="none" w:sz="0" w:space="0" w:color="auto"/>
        <w:left w:val="none" w:sz="0" w:space="0" w:color="auto"/>
        <w:bottom w:val="none" w:sz="0" w:space="0" w:color="auto"/>
        <w:right w:val="none" w:sz="0" w:space="0" w:color="auto"/>
      </w:divBdr>
    </w:div>
    <w:div w:id="1010838234">
      <w:bodyDiv w:val="1"/>
      <w:marLeft w:val="0"/>
      <w:marRight w:val="0"/>
      <w:marTop w:val="0"/>
      <w:marBottom w:val="0"/>
      <w:divBdr>
        <w:top w:val="none" w:sz="0" w:space="0" w:color="auto"/>
        <w:left w:val="none" w:sz="0" w:space="0" w:color="auto"/>
        <w:bottom w:val="none" w:sz="0" w:space="0" w:color="auto"/>
        <w:right w:val="none" w:sz="0" w:space="0" w:color="auto"/>
      </w:divBdr>
    </w:div>
    <w:div w:id="1127771051">
      <w:bodyDiv w:val="1"/>
      <w:marLeft w:val="0"/>
      <w:marRight w:val="0"/>
      <w:marTop w:val="0"/>
      <w:marBottom w:val="0"/>
      <w:divBdr>
        <w:top w:val="none" w:sz="0" w:space="0" w:color="auto"/>
        <w:left w:val="none" w:sz="0" w:space="0" w:color="auto"/>
        <w:bottom w:val="none" w:sz="0" w:space="0" w:color="auto"/>
        <w:right w:val="none" w:sz="0" w:space="0" w:color="auto"/>
      </w:divBdr>
    </w:div>
    <w:div w:id="1130711240">
      <w:bodyDiv w:val="1"/>
      <w:marLeft w:val="0"/>
      <w:marRight w:val="0"/>
      <w:marTop w:val="0"/>
      <w:marBottom w:val="0"/>
      <w:divBdr>
        <w:top w:val="none" w:sz="0" w:space="0" w:color="auto"/>
        <w:left w:val="none" w:sz="0" w:space="0" w:color="auto"/>
        <w:bottom w:val="none" w:sz="0" w:space="0" w:color="auto"/>
        <w:right w:val="none" w:sz="0" w:space="0" w:color="auto"/>
      </w:divBdr>
    </w:div>
    <w:div w:id="1269511175">
      <w:bodyDiv w:val="1"/>
      <w:marLeft w:val="0"/>
      <w:marRight w:val="0"/>
      <w:marTop w:val="0"/>
      <w:marBottom w:val="0"/>
      <w:divBdr>
        <w:top w:val="none" w:sz="0" w:space="0" w:color="auto"/>
        <w:left w:val="none" w:sz="0" w:space="0" w:color="auto"/>
        <w:bottom w:val="none" w:sz="0" w:space="0" w:color="auto"/>
        <w:right w:val="none" w:sz="0" w:space="0" w:color="auto"/>
      </w:divBdr>
    </w:div>
    <w:div w:id="1303192999">
      <w:bodyDiv w:val="1"/>
      <w:marLeft w:val="0"/>
      <w:marRight w:val="0"/>
      <w:marTop w:val="0"/>
      <w:marBottom w:val="0"/>
      <w:divBdr>
        <w:top w:val="none" w:sz="0" w:space="0" w:color="auto"/>
        <w:left w:val="none" w:sz="0" w:space="0" w:color="auto"/>
        <w:bottom w:val="none" w:sz="0" w:space="0" w:color="auto"/>
        <w:right w:val="none" w:sz="0" w:space="0" w:color="auto"/>
      </w:divBdr>
    </w:div>
    <w:div w:id="1489444784">
      <w:bodyDiv w:val="1"/>
      <w:marLeft w:val="0"/>
      <w:marRight w:val="0"/>
      <w:marTop w:val="0"/>
      <w:marBottom w:val="0"/>
      <w:divBdr>
        <w:top w:val="none" w:sz="0" w:space="0" w:color="auto"/>
        <w:left w:val="none" w:sz="0" w:space="0" w:color="auto"/>
        <w:bottom w:val="none" w:sz="0" w:space="0" w:color="auto"/>
        <w:right w:val="none" w:sz="0" w:space="0" w:color="auto"/>
      </w:divBdr>
    </w:div>
    <w:div w:id="1576625754">
      <w:bodyDiv w:val="1"/>
      <w:marLeft w:val="0"/>
      <w:marRight w:val="0"/>
      <w:marTop w:val="0"/>
      <w:marBottom w:val="0"/>
      <w:divBdr>
        <w:top w:val="none" w:sz="0" w:space="0" w:color="auto"/>
        <w:left w:val="none" w:sz="0" w:space="0" w:color="auto"/>
        <w:bottom w:val="none" w:sz="0" w:space="0" w:color="auto"/>
        <w:right w:val="none" w:sz="0" w:space="0" w:color="auto"/>
      </w:divBdr>
    </w:div>
    <w:div w:id="202547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legislation.gov.uk/sdsi/2021/9780111049099/contents"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hyperlink" Target="https://www.handbook.fca.org.uk/handbook/CONC/7/2.html" TargetMode="External" Id="rId17" /><Relationship Type="http://schemas.openxmlformats.org/officeDocument/2006/relationships/customXml" Target="../customXml/item2.xml" Id="rId2" /><Relationship Type="http://schemas.openxmlformats.org/officeDocument/2006/relationships/hyperlink" Target="https://www.legislation.gov.uk/asp/2003/13/contents"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www.legislation.gov.uk/uksi/2020/1311/contents/made" TargetMode="Externa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yperlink" Target="https://digitalpublications.parliament.scot/Committees/Report/SJSS/2022/7/2/22c9ae33-c802-4690-8d36-73d65b356069" TargetMode="External" Id="rId14" /><Relationship Type="http://schemas.openxmlformats.org/officeDocument/2006/relationships/customXml" Target="/customXML/item6.xml" Id="Ra41d2cdbf7d345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53D26341A57B383EE0540010E0463CCA" version="1.0.0">
  <systemFields>
    <field name="Objective-Id">
      <value order="0">A44138232</value>
    </field>
    <field name="Objective-Title">
      <value order="0">AiB - Policy Development - Mental Health Moratorium Working Group - report of recommendations</value>
    </field>
    <field name="Objective-Description">
      <value order="0"/>
    </field>
    <field name="Objective-CreationStamp">
      <value order="0">2023-06-19T15:26:52Z</value>
    </field>
    <field name="Objective-IsApproved">
      <value order="0">false</value>
    </field>
    <field name="Objective-IsPublished">
      <value order="0">true</value>
    </field>
    <field name="Objective-DatePublished">
      <value order="0">2023-12-08T11:24:55Z</value>
    </field>
    <field name="Objective-ModificationStamp">
      <value order="0">2023-12-08T11:24:55Z</value>
    </field>
    <field name="Objective-Owner">
      <value order="0">Carrigan, Pauline P (N300182)</value>
    </field>
    <field name="Objective-Path">
      <value order="0">Objective Global Folder:SG File Plan:Business and industry:Business practice and regulation:Insolvency:Advice and policy: Insolvency:Accountant in Bankruptcy (AiB) - Policy Development - Bankruptcy and Diligence Bill: 2021-2026</value>
    </field>
    <field name="Objective-Parent">
      <value order="0">Accountant in Bankruptcy (AiB) - Policy Development - Bankruptcy and Diligence Bill: 2021-2026</value>
    </field>
    <field name="Objective-State">
      <value order="0">Published</value>
    </field>
    <field name="Objective-VersionId">
      <value order="0">vA67193494</value>
    </field>
    <field name="Objective-Version">
      <value order="0">2.0</value>
    </field>
    <field name="Objective-VersionNumber">
      <value order="0">5</value>
    </field>
    <field name="Objective-VersionComment">
      <value order="0"/>
    </field>
    <field name="Objective-FileNumber">
      <value order="0">POL/37684</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58b29e4-1ce3-4887-9418-f03544be2f74">
      <UserInfo>
        <DisplayName>Russell Haddow</DisplayName>
        <AccountId>12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E6FAB274E0414BA5EAF0F51422A7D7" ma:contentTypeVersion="5" ma:contentTypeDescription="Create a new document." ma:contentTypeScope="" ma:versionID="a56ae569395d0c9b1b957ada4914b9b7">
  <xsd:schema xmlns:xsd="http://www.w3.org/2001/XMLSchema" xmlns:xs="http://www.w3.org/2001/XMLSchema" xmlns:p="http://schemas.microsoft.com/office/2006/metadata/properties" xmlns:ns2="0a01b6be-09c3-43f7-b224-cdbe3610d176" xmlns:ns3="658b29e4-1ce3-4887-9418-f03544be2f74" targetNamespace="http://schemas.microsoft.com/office/2006/metadata/properties" ma:root="true" ma:fieldsID="f0c5a9fad27cbf3202146e7d6f89c974" ns2:_="" ns3:_="">
    <xsd:import namespace="0a01b6be-09c3-43f7-b224-cdbe3610d176"/>
    <xsd:import namespace="658b29e4-1ce3-4887-9418-f03544be2f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01b6be-09c3-43f7-b224-cdbe3610d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8b29e4-1ce3-4887-9418-f03544be2f7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600ECF-A75D-432B-B337-34BF71A5AE6B}">
  <ds:schemaRefs>
    <ds:schemaRef ds:uri="http://schemas.microsoft.com/office/2006/metadata/properties"/>
    <ds:schemaRef ds:uri="http://schemas.microsoft.com/office/infopath/2007/PartnerControls"/>
    <ds:schemaRef ds:uri="658b29e4-1ce3-4887-9418-f03544be2f74"/>
  </ds:schemaRefs>
</ds:datastoreItem>
</file>

<file path=customXml/itemProps2.xml><?xml version="1.0" encoding="utf-8"?>
<ds:datastoreItem xmlns:ds="http://schemas.openxmlformats.org/officeDocument/2006/customXml" ds:itemID="{888C6B3C-AD6F-4897-8ED0-5C817CC32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01b6be-09c3-43f7-b224-cdbe3610d176"/>
    <ds:schemaRef ds:uri="658b29e4-1ce3-4887-9418-f03544be2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E76771-CA6E-4D36-BFE2-BEE476DEAA88}">
  <ds:schemaRefs>
    <ds:schemaRef ds:uri="http://schemas.openxmlformats.org/officeDocument/2006/bibliography"/>
  </ds:schemaRefs>
</ds:datastoreItem>
</file>

<file path=customXml/itemProps5.xml><?xml version="1.0" encoding="utf-8"?>
<ds:datastoreItem xmlns:ds="http://schemas.openxmlformats.org/officeDocument/2006/customXml" ds:itemID="{5D2392EE-640D-421A-831B-86F24DFB3A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6469</Words>
  <Characters>36875</Characters>
  <Application>Microsoft Office Word</Application>
  <DocSecurity>0</DocSecurity>
  <Lines>307</Lines>
  <Paragraphs>86</Paragraphs>
  <ScaleCrop>false</ScaleCrop>
  <Company>Scottish Government</Company>
  <LinksUpToDate>false</LinksUpToDate>
  <CharactersWithSpaces>43258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C (Carol)</dc:creator>
  <cp:keywords/>
  <dc:description/>
  <cp:lastModifiedBy>Russell Haddow</cp:lastModifiedBy>
  <cp:revision>17</cp:revision>
  <dcterms:created xsi:type="dcterms:W3CDTF">2023-08-15T13:36:00Z</dcterms:created>
  <dcterms:modified xsi:type="dcterms:W3CDTF">2023-08-17T11:35:00Z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A44138232</vt:lpwstr>
  </property>
  <property fmtid="{D5CDD505-2E9C-101B-9397-08002B2CF9AE}" pid="4" name="Objective-Title">
    <vt:lpwstr>AiB - Policy Development - Mental Health Moratorium Working Group - report of recommendations</vt:lpwstr>
  </property>
  <property fmtid="{D5CDD505-2E9C-101B-9397-08002B2CF9AE}" pid="5" name="Objective-Description">
    <vt:lpwstr/>
  </property>
  <property fmtid="{D5CDD505-2E9C-101B-9397-08002B2CF9AE}" pid="6" name="Objective-CreationStamp">
    <vt:filetime>2023-06-19T15:26:52Z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2023-12-08T11:24:55Z</vt:filetime>
  </property>
  <property fmtid="{D5CDD505-2E9C-101B-9397-08002B2CF9AE}" pid="10" name="Objective-ModificationStamp">
    <vt:filetime>2023-12-08T11:24:55Z</vt:filetime>
  </property>
  <property fmtid="{D5CDD505-2E9C-101B-9397-08002B2CF9AE}" pid="11" name="Objective-Owner">
    <vt:lpwstr>Carrigan, Pauline P (N300182)</vt:lpwstr>
  </property>
  <property fmtid="{D5CDD505-2E9C-101B-9397-08002B2CF9AE}" pid="12" name="Objective-Path">
    <vt:lpwstr>Objective Global Folder:SG File Plan:Business and industry:Business practice and regulation:Insolvency:Advice and policy: Insolvency:Accountant in Bankruptcy (AiB) - Policy Development - Bankruptcy and Diligence Bill: 2021-2026</vt:lpwstr>
  </property>
  <property fmtid="{D5CDD505-2E9C-101B-9397-08002B2CF9AE}" pid="13" name="Objective-Parent">
    <vt:lpwstr>Accountant in Bankruptcy (AiB) - Policy Development - Bankruptcy and Diligence Bill: 2021-2026</vt:lpwstr>
  </property>
  <property fmtid="{D5CDD505-2E9C-101B-9397-08002B2CF9AE}" pid="14" name="Objective-State">
    <vt:lpwstr>Published</vt:lpwstr>
  </property>
  <property fmtid="{D5CDD505-2E9C-101B-9397-08002B2CF9AE}" pid="15" name="Objective-VersionId">
    <vt:lpwstr>vA67193494</vt:lpwstr>
  </property>
  <property fmtid="{D5CDD505-2E9C-101B-9397-08002B2CF9AE}" pid="16" name="Objective-Version">
    <vt:lpwstr>2.0</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POL/37684</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0x010100B3E6FAB274E0414BA5EAF0F51422A7D7</vt:lpwstr>
  </property>
</Properties>
</file>